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8DBE" w14:textId="77777777" w:rsidR="001B44A6" w:rsidRPr="00DC6360" w:rsidRDefault="001B44A6" w:rsidP="001B44A6">
      <w:pPr>
        <w:pStyle w:val="Heading1"/>
        <w:rPr>
          <w:b/>
          <w:bCs/>
          <w:color w:val="000000" w:themeColor="text1"/>
          <w:sz w:val="28"/>
          <w:szCs w:val="28"/>
        </w:rPr>
      </w:pPr>
      <w:r w:rsidRPr="00DC6360">
        <w:rPr>
          <w:b/>
          <w:bCs/>
          <w:color w:val="000000" w:themeColor="text1"/>
          <w:sz w:val="28"/>
          <w:szCs w:val="28"/>
        </w:rPr>
        <w:t>Joint Comments on BPA TC-27 Proceeding</w:t>
      </w:r>
    </w:p>
    <w:p w14:paraId="4C4325DA" w14:textId="685C9E01" w:rsidR="00D63482" w:rsidRDefault="00D63482" w:rsidP="001B44A6">
      <w:pPr>
        <w:tabs>
          <w:tab w:val="left" w:pos="3240"/>
        </w:tabs>
        <w:spacing w:line="276" w:lineRule="auto"/>
        <w:contextualSpacing/>
        <w:rPr>
          <w:rFonts w:cstheme="minorHAnsi"/>
        </w:rPr>
      </w:pPr>
      <w:r w:rsidRPr="00D63482">
        <w:rPr>
          <w:rFonts w:cstheme="minorHAnsi"/>
        </w:rPr>
        <w:t xml:space="preserve">Columbia River PUD, Forest Grove Light &amp; Power, and </w:t>
      </w:r>
      <w:r w:rsidR="002A10A6" w:rsidRPr="002A10A6">
        <w:rPr>
          <w:rFonts w:cstheme="minorHAnsi"/>
        </w:rPr>
        <w:t>McMinnville Water and Light</w:t>
      </w:r>
      <w:r w:rsidRPr="00D63482">
        <w:rPr>
          <w:rFonts w:cstheme="minorHAnsi"/>
        </w:rPr>
        <w:t xml:space="preserve"> appreciate this opportunity to submit joint comments in response to BPA TC-27 proceeding. We look forward to continued and robust engagement on this item.</w:t>
      </w:r>
    </w:p>
    <w:p w14:paraId="6B0AD965" w14:textId="77777777" w:rsidR="001B44A6" w:rsidRPr="001B44A6" w:rsidRDefault="001B44A6" w:rsidP="001B44A6">
      <w:pPr>
        <w:tabs>
          <w:tab w:val="left" w:pos="3240"/>
        </w:tabs>
        <w:spacing w:line="276" w:lineRule="auto"/>
        <w:contextualSpacing/>
        <w:rPr>
          <w:rFonts w:cstheme="minorHAnsi"/>
        </w:rPr>
      </w:pPr>
    </w:p>
    <w:p w14:paraId="03073D34" w14:textId="586C751E" w:rsidR="00144864" w:rsidRPr="00DC6360" w:rsidRDefault="001B44A6" w:rsidP="001B44A6">
      <w:pPr>
        <w:pStyle w:val="Heading2"/>
        <w:rPr>
          <w:b/>
          <w:bCs/>
          <w:color w:val="000000" w:themeColor="text1"/>
          <w:sz w:val="28"/>
          <w:szCs w:val="28"/>
        </w:rPr>
      </w:pPr>
      <w:r w:rsidRPr="00DC6360">
        <w:rPr>
          <w:b/>
          <w:bCs/>
          <w:color w:val="000000" w:themeColor="text1"/>
          <w:sz w:val="28"/>
          <w:szCs w:val="28"/>
        </w:rPr>
        <w:t>NITS Large Load Facility Threshold</w:t>
      </w:r>
    </w:p>
    <w:p w14:paraId="43DDA43A" w14:textId="1F4335B0" w:rsidR="001B44A6" w:rsidRPr="00DC6360" w:rsidRDefault="00384D7E" w:rsidP="00144864">
      <w:pPr>
        <w:rPr>
          <w:color w:val="000000" w:themeColor="text1"/>
        </w:rPr>
      </w:pPr>
      <w:r w:rsidRPr="00DC6360">
        <w:rPr>
          <w:color w:val="000000" w:themeColor="text1"/>
        </w:rPr>
        <w:t xml:space="preserve">We believe the NTLG undermines a core benefit of NITS service: BPA planning for reasonably forecasted load. </w:t>
      </w:r>
      <w:r w:rsidR="00B41147" w:rsidRPr="00DC6360">
        <w:rPr>
          <w:color w:val="000000" w:themeColor="text1"/>
        </w:rPr>
        <w:t>To that extent the NTLG limitations restrict our capacity to support economic growth in our rural communities. As the sole utility provider for our designated area,</w:t>
      </w:r>
      <w:r w:rsidR="00AF4855" w:rsidRPr="00DC6360">
        <w:rPr>
          <w:color w:val="000000" w:themeColor="text1"/>
        </w:rPr>
        <w:t xml:space="preserve"> with an obligation to serve and</w:t>
      </w:r>
      <w:r w:rsidR="00B41147" w:rsidRPr="00DC6360">
        <w:rPr>
          <w:color w:val="000000" w:themeColor="text1"/>
        </w:rPr>
        <w:t xml:space="preserve"> are committed to meeting the needs of all customers and rely on BPA to adopt a </w:t>
      </w:r>
      <w:r w:rsidR="00573F42" w:rsidRPr="00DC6360">
        <w:rPr>
          <w:color w:val="000000" w:themeColor="text1"/>
        </w:rPr>
        <w:t xml:space="preserve">build and reserve </w:t>
      </w:r>
      <w:r w:rsidR="00B41147" w:rsidRPr="00DC6360">
        <w:rPr>
          <w:color w:val="000000" w:themeColor="text1"/>
        </w:rPr>
        <w:t xml:space="preserve">proactive stance—essentially, "if </w:t>
      </w:r>
      <w:r w:rsidR="00573F42" w:rsidRPr="00DC6360">
        <w:rPr>
          <w:color w:val="000000" w:themeColor="text1"/>
        </w:rPr>
        <w:t>BPA</w:t>
      </w:r>
      <w:r w:rsidR="00B41147" w:rsidRPr="00DC6360">
        <w:rPr>
          <w:color w:val="000000" w:themeColor="text1"/>
        </w:rPr>
        <w:t xml:space="preserve"> build</w:t>
      </w:r>
      <w:r w:rsidR="00AF4855" w:rsidRPr="00DC6360">
        <w:rPr>
          <w:color w:val="000000" w:themeColor="text1"/>
        </w:rPr>
        <w:t>s</w:t>
      </w:r>
      <w:r w:rsidR="00B41147" w:rsidRPr="00DC6360">
        <w:rPr>
          <w:color w:val="000000" w:themeColor="text1"/>
        </w:rPr>
        <w:t xml:space="preserve"> it, they will come." We believe the most effective strategy is to leverage initiatives like PARS to prompt BPA to plan and, crucially, invest in expanding the bulk electric system for NITS customers. This approach not only anticipates future demand but also ensures that rural communities are equipped to thrive and grow. </w:t>
      </w:r>
      <w:r w:rsidR="00573F42" w:rsidRPr="00DC6360">
        <w:rPr>
          <w:color w:val="000000" w:themeColor="text1"/>
        </w:rPr>
        <w:t xml:space="preserve">If a threshold is implemented and BPA reduces its commitment to infrastructure development, NITS </w:t>
      </w:r>
      <w:r w:rsidR="006F3628">
        <w:rPr>
          <w:color w:val="000000" w:themeColor="text1"/>
        </w:rPr>
        <w:t xml:space="preserve">customers </w:t>
      </w:r>
      <w:r w:rsidR="00573F42" w:rsidRPr="00DC6360">
        <w:rPr>
          <w:color w:val="000000" w:themeColor="text1"/>
        </w:rPr>
        <w:t>will remain stagnant, effectively prioritizing those with greater financial resources and thereby placing NITS customers at a disadvantage.</w:t>
      </w:r>
    </w:p>
    <w:p w14:paraId="13611E38" w14:textId="77777777" w:rsidR="001B44A6" w:rsidRPr="001B44A6" w:rsidRDefault="001B44A6" w:rsidP="00144864"/>
    <w:p w14:paraId="3FCD7F05" w14:textId="71973422" w:rsidR="00384D7E" w:rsidRPr="00DC6360" w:rsidRDefault="001B44A6" w:rsidP="001B44A6">
      <w:pPr>
        <w:pStyle w:val="Heading2"/>
        <w:rPr>
          <w:b/>
          <w:bCs/>
          <w:color w:val="000000" w:themeColor="text1"/>
          <w:sz w:val="28"/>
          <w:szCs w:val="28"/>
        </w:rPr>
      </w:pPr>
      <w:r w:rsidRPr="00DC6360">
        <w:rPr>
          <w:b/>
          <w:bCs/>
          <w:color w:val="000000" w:themeColor="text1"/>
          <w:sz w:val="28"/>
          <w:szCs w:val="28"/>
        </w:rPr>
        <w:t>Support for NRU Comments</w:t>
      </w:r>
    </w:p>
    <w:p w14:paraId="68375EF0" w14:textId="255DC663" w:rsidR="003B0BA0" w:rsidRDefault="003B0BA0">
      <w:pPr>
        <w:spacing w:line="240" w:lineRule="auto"/>
      </w:pPr>
      <w:r>
        <w:t>We fully support NRU’s positions on</w:t>
      </w:r>
      <w:r w:rsidR="00B12319">
        <w:t xml:space="preserve"> the following topics</w:t>
      </w:r>
      <w:r w:rsidR="00B41147">
        <w:t xml:space="preserve"> if a line is continued to be pursued by BPA</w:t>
      </w:r>
      <w:r w:rsidR="00B12319">
        <w:t>:</w:t>
      </w:r>
      <w:r>
        <w:t xml:space="preserve"> </w:t>
      </w:r>
    </w:p>
    <w:p w14:paraId="5B02E504" w14:textId="77777777" w:rsidR="001B44A6" w:rsidRDefault="001B44A6" w:rsidP="001B44A6">
      <w:pPr>
        <w:pStyle w:val="ListBullet"/>
      </w:pPr>
      <w:r>
        <w:t>Load Maturity Requirements</w:t>
      </w:r>
    </w:p>
    <w:p w14:paraId="1918B95A" w14:textId="77777777" w:rsidR="001B44A6" w:rsidRDefault="001B44A6" w:rsidP="001B44A6">
      <w:pPr>
        <w:pStyle w:val="ListBullet"/>
      </w:pPr>
      <w:r>
        <w:t>Conditional Firm Service: Fees and Cost Recovery</w:t>
      </w:r>
    </w:p>
    <w:p w14:paraId="648B5E93" w14:textId="77777777" w:rsidR="001B44A6" w:rsidRDefault="001B44A6" w:rsidP="001B44A6">
      <w:pPr>
        <w:pStyle w:val="ListBullet"/>
      </w:pPr>
      <w:r>
        <w:t>Financial Security Requirements for NITS Customers</w:t>
      </w:r>
    </w:p>
    <w:p w14:paraId="51B82609" w14:textId="77777777" w:rsidR="001B44A6" w:rsidRDefault="001B44A6" w:rsidP="001B44A6">
      <w:pPr>
        <w:pStyle w:val="ListBullet"/>
      </w:pPr>
      <w:r>
        <w:t>Rate Treatment for NITS Loads Above the NTLG Line</w:t>
      </w:r>
    </w:p>
    <w:p w14:paraId="2098120B" w14:textId="77777777" w:rsidR="001B44A6" w:rsidRDefault="001B44A6" w:rsidP="001B44A6">
      <w:pPr>
        <w:pStyle w:val="ListBullet"/>
      </w:pPr>
      <w:r>
        <w:t>Conditional Firm Service and BPA’s Ability to Plan for NITS</w:t>
      </w:r>
    </w:p>
    <w:p w14:paraId="04F9039F" w14:textId="77777777" w:rsidR="001B44A6" w:rsidRDefault="001B44A6" w:rsidP="001B44A6">
      <w:pPr>
        <w:pStyle w:val="ListBullet"/>
      </w:pPr>
      <w:r>
        <w:t>Encumbering Capacity on the Bulk Transmission System</w:t>
      </w:r>
    </w:p>
    <w:p w14:paraId="600C9325" w14:textId="77777777" w:rsidR="001B44A6" w:rsidRDefault="001B44A6" w:rsidP="001B44A6">
      <w:pPr>
        <w:pStyle w:val="ListBullet"/>
      </w:pPr>
      <w:r>
        <w:t>Visibility into Transmission Encumbrances</w:t>
      </w:r>
    </w:p>
    <w:p w14:paraId="5D75EEF9" w14:textId="77777777" w:rsidR="001B44A6" w:rsidRDefault="001B44A6" w:rsidP="001B44A6">
      <w:pPr>
        <w:pStyle w:val="ListBullet"/>
      </w:pPr>
      <w:r>
        <w:t>Alignment with BPA’s Statutory Obligations</w:t>
      </w:r>
    </w:p>
    <w:p w14:paraId="19909723" w14:textId="77777777" w:rsidR="001B44A6" w:rsidRDefault="001B44A6">
      <w:pPr>
        <w:spacing w:line="240" w:lineRule="auto"/>
      </w:pPr>
    </w:p>
    <w:sectPr w:rsidR="001B4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92DA56"/>
    <w:lvl w:ilvl="0">
      <w:start w:val="1"/>
      <w:numFmt w:val="bullet"/>
      <w:pStyle w:val="ListBullet"/>
      <w:lvlText w:val=""/>
      <w:lvlJc w:val="left"/>
      <w:pPr>
        <w:tabs>
          <w:tab w:val="num" w:pos="360"/>
        </w:tabs>
        <w:ind w:left="360" w:hanging="360"/>
      </w:pPr>
      <w:rPr>
        <w:rFonts w:ascii="Symbol" w:hAnsi="Symbol" w:hint="default"/>
      </w:rPr>
    </w:lvl>
  </w:abstractNum>
  <w:num w:numId="1" w16cid:durableId="1728724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64"/>
    <w:rsid w:val="0006622C"/>
    <w:rsid w:val="00144864"/>
    <w:rsid w:val="001B44A6"/>
    <w:rsid w:val="002643A0"/>
    <w:rsid w:val="002905A1"/>
    <w:rsid w:val="0029572B"/>
    <w:rsid w:val="002A10A6"/>
    <w:rsid w:val="002C2E19"/>
    <w:rsid w:val="00384D7E"/>
    <w:rsid w:val="003B0BA0"/>
    <w:rsid w:val="00525FB9"/>
    <w:rsid w:val="00573F42"/>
    <w:rsid w:val="0067638C"/>
    <w:rsid w:val="006F3628"/>
    <w:rsid w:val="006F538E"/>
    <w:rsid w:val="00737C3C"/>
    <w:rsid w:val="009D7628"/>
    <w:rsid w:val="00A13977"/>
    <w:rsid w:val="00AA553C"/>
    <w:rsid w:val="00AC3ACD"/>
    <w:rsid w:val="00AF4855"/>
    <w:rsid w:val="00B12319"/>
    <w:rsid w:val="00B41147"/>
    <w:rsid w:val="00B74E7E"/>
    <w:rsid w:val="00CA2FD1"/>
    <w:rsid w:val="00D63482"/>
    <w:rsid w:val="00DC6360"/>
    <w:rsid w:val="00E246F6"/>
    <w:rsid w:val="00E91248"/>
    <w:rsid w:val="00E93154"/>
    <w:rsid w:val="00F05914"/>
    <w:rsid w:val="00FB3EF2"/>
    <w:rsid w:val="00FC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8B93"/>
  <w15:chartTrackingRefBased/>
  <w15:docId w15:val="{7914121B-ABA9-4379-A047-39CB37EC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4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864"/>
    <w:rPr>
      <w:rFonts w:eastAsiaTheme="majorEastAsia" w:cstheme="majorBidi"/>
      <w:color w:val="272727" w:themeColor="text1" w:themeTint="D8"/>
    </w:rPr>
  </w:style>
  <w:style w:type="paragraph" w:styleId="Title">
    <w:name w:val="Title"/>
    <w:basedOn w:val="Normal"/>
    <w:next w:val="Normal"/>
    <w:link w:val="TitleChar"/>
    <w:uiPriority w:val="10"/>
    <w:qFormat/>
    <w:rsid w:val="00144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864"/>
    <w:pPr>
      <w:spacing w:before="160"/>
      <w:jc w:val="center"/>
    </w:pPr>
    <w:rPr>
      <w:i/>
      <w:iCs/>
      <w:color w:val="404040" w:themeColor="text1" w:themeTint="BF"/>
    </w:rPr>
  </w:style>
  <w:style w:type="character" w:customStyle="1" w:styleId="QuoteChar">
    <w:name w:val="Quote Char"/>
    <w:basedOn w:val="DefaultParagraphFont"/>
    <w:link w:val="Quote"/>
    <w:uiPriority w:val="29"/>
    <w:rsid w:val="00144864"/>
    <w:rPr>
      <w:i/>
      <w:iCs/>
      <w:color w:val="404040" w:themeColor="text1" w:themeTint="BF"/>
    </w:rPr>
  </w:style>
  <w:style w:type="paragraph" w:styleId="ListParagraph">
    <w:name w:val="List Paragraph"/>
    <w:basedOn w:val="Normal"/>
    <w:uiPriority w:val="34"/>
    <w:qFormat/>
    <w:rsid w:val="00144864"/>
    <w:pPr>
      <w:ind w:left="720"/>
      <w:contextualSpacing/>
    </w:pPr>
  </w:style>
  <w:style w:type="character" w:styleId="IntenseEmphasis">
    <w:name w:val="Intense Emphasis"/>
    <w:basedOn w:val="DefaultParagraphFont"/>
    <w:uiPriority w:val="21"/>
    <w:qFormat/>
    <w:rsid w:val="00144864"/>
    <w:rPr>
      <w:i/>
      <w:iCs/>
      <w:color w:val="0F4761" w:themeColor="accent1" w:themeShade="BF"/>
    </w:rPr>
  </w:style>
  <w:style w:type="paragraph" w:styleId="IntenseQuote">
    <w:name w:val="Intense Quote"/>
    <w:basedOn w:val="Normal"/>
    <w:next w:val="Normal"/>
    <w:link w:val="IntenseQuoteChar"/>
    <w:uiPriority w:val="30"/>
    <w:qFormat/>
    <w:rsid w:val="00144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864"/>
    <w:rPr>
      <w:i/>
      <w:iCs/>
      <w:color w:val="0F4761" w:themeColor="accent1" w:themeShade="BF"/>
    </w:rPr>
  </w:style>
  <w:style w:type="character" w:styleId="IntenseReference">
    <w:name w:val="Intense Reference"/>
    <w:basedOn w:val="DefaultParagraphFont"/>
    <w:uiPriority w:val="32"/>
    <w:qFormat/>
    <w:rsid w:val="00144864"/>
    <w:rPr>
      <w:b/>
      <w:bCs/>
      <w:smallCaps/>
      <w:color w:val="0F4761" w:themeColor="accent1" w:themeShade="BF"/>
      <w:spacing w:val="5"/>
    </w:rPr>
  </w:style>
  <w:style w:type="paragraph" w:styleId="ListBullet">
    <w:name w:val="List Bullet"/>
    <w:basedOn w:val="Normal"/>
    <w:uiPriority w:val="99"/>
    <w:unhideWhenUsed/>
    <w:rsid w:val="001B44A6"/>
    <w:pPr>
      <w:numPr>
        <w:numId w:val="1"/>
      </w:numPr>
      <w:spacing w:after="200" w:line="276" w:lineRule="auto"/>
      <w:contextualSpacing/>
    </w:pPr>
    <w:rPr>
      <w:rFonts w:ascii="Calibri" w:eastAsiaTheme="minorEastAsia" w:hAnsi="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12B6EB749ECC4B92CE18A77A6BC768" ma:contentTypeVersion="9" ma:contentTypeDescription="Create a new document." ma:contentTypeScope="" ma:versionID="4a41e6d6ad6cedb9f4da999809e3ddb1">
  <xsd:schema xmlns:xsd="http://www.w3.org/2001/XMLSchema" xmlns:xs="http://www.w3.org/2001/XMLSchema" xmlns:p="http://schemas.microsoft.com/office/2006/metadata/properties" xmlns:ns2="95f0d549-608d-4fa7-b4a9-2b716a20f648" targetNamespace="http://schemas.microsoft.com/office/2006/metadata/properties" ma:root="true" ma:fieldsID="7872a8a725da9aee702d7987ab0da37c" ns2:_="">
    <xsd:import namespace="95f0d549-608d-4fa7-b4a9-2b716a20f648"/>
    <xsd:element name="properties">
      <xsd:complexType>
        <xsd:sequence>
          <xsd:element name="documentManagement">
            <xsd:complexType>
              <xsd:all>
                <xsd:element ref="ns2:Summarized" minOccurs="0"/>
                <xsd:element ref="ns2:Commenter" minOccurs="0"/>
                <xsd:element ref="ns2:Com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0d549-608d-4fa7-b4a9-2b716a20f648" elementFormDefault="qualified">
    <xsd:import namespace="http://schemas.microsoft.com/office/2006/documentManagement/types"/>
    <xsd:import namespace="http://schemas.microsoft.com/office/infopath/2007/PartnerControls"/>
    <xsd:element name="Summarized" ma:index="8" nillable="true" ma:displayName="Summarized" ma:default="0" ma:description="Whether or not the comments have been summarized and incorporated into the combined comments summary spreadsheet. " ma:internalName="Summarized">
      <xsd:simpleType>
        <xsd:restriction base="dms:Boolean"/>
      </xsd:simpleType>
    </xsd:element>
    <xsd:element name="Commenter" ma:index="9" nillable="true" ma:displayName="Commenter" ma:internalName="Commenter">
      <xsd:simpleType>
        <xsd:restriction base="dms:Text">
          <xsd:maxLength value="255"/>
        </xsd:restriction>
      </xsd:simpleType>
    </xsd:element>
    <xsd:element name="Comment_x0020_Type" ma:index="10" nillable="true" ma:displayName="Comment Type" ma:internalName="Comment_x0020_Type">
      <xsd:simpleType>
        <xsd:restriction base="dms:Choice">
          <xsd:enumeration value="Narrative"/>
          <xsd:enumeration value="Alternatives Spreadshe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_x0020_Type xmlns="95f0d549-608d-4fa7-b4a9-2b716a20f648" xsi:nil="true"/>
    <Commenter xmlns="95f0d549-608d-4fa7-b4a9-2b716a20f648" xsi:nil="true"/>
    <Summarized xmlns="95f0d549-608d-4fa7-b4a9-2b716a20f648">false</Summarized>
  </documentManagement>
</p:properties>
</file>

<file path=customXml/itemProps1.xml><?xml version="1.0" encoding="utf-8"?>
<ds:datastoreItem xmlns:ds="http://schemas.openxmlformats.org/officeDocument/2006/customXml" ds:itemID="{B5BE5C4F-C463-47A3-8EA2-FCB20DDE0F78}"/>
</file>

<file path=customXml/itemProps2.xml><?xml version="1.0" encoding="utf-8"?>
<ds:datastoreItem xmlns:ds="http://schemas.openxmlformats.org/officeDocument/2006/customXml" ds:itemID="{FBD6B2DC-72BF-45E0-B907-31DE89015DDE}"/>
</file>

<file path=customXml/itemProps3.xml><?xml version="1.0" encoding="utf-8"?>
<ds:datastoreItem xmlns:ds="http://schemas.openxmlformats.org/officeDocument/2006/customXml" ds:itemID="{8275AD26-6C93-464E-B3BE-0DD1B1DF424A}"/>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1555</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Branden Staehely</dc:creator>
  <cp:keywords/>
  <dc:description/>
  <cp:lastModifiedBy>Keith Hormann</cp:lastModifiedBy>
  <cp:revision>3</cp:revision>
  <dcterms:created xsi:type="dcterms:W3CDTF">2026-04-09T21:50:00Z</dcterms:created>
  <dcterms:modified xsi:type="dcterms:W3CDTF">2026-04-09T22:16:00Z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0f3f0b7e-71ab-400f-bea8-a0744da6b5a5</vt:lpwstr>
  </property>
  <property fmtid="{D5CDD505-2E9C-101B-9397-08002B2CF9AE}" pid="3" name="MSIP_Label_defa4170-0d19-0005-0004-bc88714345d2_Enabled">
    <vt:lpwstr>true</vt:lpwstr>
  </property>
  <property fmtid="{D5CDD505-2E9C-101B-9397-08002B2CF9AE}" pid="4" name="MSIP_Label_defa4170-0d19-0005-0004-bc88714345d2_SetDate">
    <vt:lpwstr>2026-04-09T18:28:53Z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68194d09-f79d-4a63-a23a-0f337b288809</vt:lpwstr>
  </property>
  <property fmtid="{D5CDD505-2E9C-101B-9397-08002B2CF9AE}" pid="8" name="MSIP_Label_defa4170-0d19-0005-0004-bc88714345d2_ActionId">
    <vt:lpwstr>fe2872d7-55d3-4491-bb23-22f318c96ba7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0x010100A612B6EB749ECC4B92CE18A77A6BC768</vt:lpwstr>
  </property>
</Properties>
</file>