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65CA" w14:textId="77777777" w:rsidR="00C409B1" w:rsidRDefault="00CF0457">
      <w:pPr>
        <w:pStyle w:val="BodyText"/>
        <w:spacing w:before="11"/>
        <w:rPr>
          <w:rFonts w:ascii="Arial"/>
          <w:sz w:val="19"/>
        </w:rPr>
      </w:pPr>
      <w:r>
        <w:pict w14:anchorId="3288E154">
          <v:shape id="_x0000_s1027" style="position:absolute;margin-left:78pt;margin-top:13.8pt;width:456pt;height:.1pt;z-index:-251657216;mso-wrap-distance-left:0;mso-wrap-distance-right:0;mso-position-horizontal-relative:page" coordorigin="1560,276" coordsize="9120,0" path="m1560,276r9120,e" filled="f" strokecolor="#e0e0e0">
            <v:path arrowok="t"/>
            <w10:wrap type="topAndBottom" anchorx="page"/>
          </v:shape>
        </w:pict>
      </w:r>
    </w:p>
    <w:p w14:paraId="44E6B865" w14:textId="0930F25A" w:rsidR="00C409B1" w:rsidRDefault="00CF0457">
      <w:pPr>
        <w:spacing w:before="31"/>
        <w:ind w:left="100"/>
        <w:rPr>
          <w:rFonts w:ascii="Calibri Light"/>
        </w:rPr>
      </w:pPr>
      <w:r>
        <w:rPr>
          <w:rFonts w:ascii="Calibri"/>
          <w:b/>
        </w:rPr>
        <w:t xml:space="preserve">From: </w:t>
      </w:r>
      <w:r>
        <w:rPr>
          <w:rFonts w:ascii="Calibri Light"/>
        </w:rPr>
        <w:t>Lon Peters</w:t>
      </w:r>
    </w:p>
    <w:p w14:paraId="7E5FB4E4" w14:textId="77777777" w:rsidR="00C409B1" w:rsidRDefault="00CF0457">
      <w:pPr>
        <w:spacing w:before="31"/>
        <w:ind w:left="100"/>
        <w:rPr>
          <w:rFonts w:ascii="Calibri Light"/>
        </w:rPr>
      </w:pPr>
      <w:r>
        <w:rPr>
          <w:rFonts w:ascii="Calibri"/>
          <w:b/>
        </w:rPr>
        <w:t xml:space="preserve">Subject: </w:t>
      </w:r>
      <w:r>
        <w:rPr>
          <w:rFonts w:ascii="Calibri Light"/>
        </w:rPr>
        <w:t>Block - Minimum Hourly Energy</w:t>
      </w:r>
    </w:p>
    <w:p w14:paraId="38AB7987" w14:textId="77777777" w:rsidR="00C409B1" w:rsidRDefault="00C409B1">
      <w:pPr>
        <w:pStyle w:val="BodyText"/>
        <w:spacing w:before="10"/>
        <w:rPr>
          <w:rFonts w:ascii="Calibri Light"/>
          <w:sz w:val="29"/>
        </w:rPr>
      </w:pPr>
    </w:p>
    <w:p w14:paraId="2561FCB2" w14:textId="77777777" w:rsidR="00C409B1" w:rsidRDefault="00CF0457">
      <w:pPr>
        <w:tabs>
          <w:tab w:val="left" w:pos="2340"/>
        </w:tabs>
        <w:spacing w:before="1" w:line="287" w:lineRule="exact"/>
        <w:ind w:left="1540"/>
        <w:rPr>
          <w:b/>
          <w:sz w:val="24"/>
        </w:rPr>
      </w:pPr>
      <w:r>
        <w:rPr>
          <w:sz w:val="24"/>
        </w:rPr>
        <w:t>1.4.3</w:t>
      </w:r>
      <w:r>
        <w:rPr>
          <w:sz w:val="24"/>
        </w:rPr>
        <w:tab/>
      </w:r>
      <w:r>
        <w:rPr>
          <w:b/>
          <w:sz w:val="24"/>
        </w:rPr>
        <w:t>Minimum Hourly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Energy</w:t>
      </w:r>
    </w:p>
    <w:p w14:paraId="3B280B89" w14:textId="77777777" w:rsidR="00C409B1" w:rsidRDefault="00CF0457">
      <w:pPr>
        <w:pStyle w:val="BodyText"/>
        <w:spacing w:line="237" w:lineRule="auto"/>
        <w:ind w:left="2259" w:right="453"/>
      </w:pPr>
      <w:r>
        <w:t>The amounts of Firm Requirements Power priced at Tier 1 Rates within each hour shall not be less than the minimum hourly energy schedule amount for the given month.</w:t>
      </w:r>
    </w:p>
    <w:p w14:paraId="0A4F5C91" w14:textId="77777777" w:rsidR="00C409B1" w:rsidRDefault="00C409B1">
      <w:pPr>
        <w:pStyle w:val="BodyText"/>
        <w:spacing w:before="7"/>
        <w:rPr>
          <w:sz w:val="23"/>
        </w:rPr>
      </w:pPr>
    </w:p>
    <w:p w14:paraId="219ED954" w14:textId="77777777" w:rsidR="00C409B1" w:rsidRDefault="00CF0457">
      <w:pPr>
        <w:pStyle w:val="BodyText"/>
        <w:spacing w:line="237" w:lineRule="auto"/>
        <w:ind w:left="2260"/>
      </w:pPr>
      <w:r>
        <w:rPr>
          <w:shd w:val="clear" w:color="auto" w:fill="00FFFF"/>
        </w:rPr>
        <w:t>BPA shall calculate the minimum hourly energy amounts as</w:t>
      </w:r>
      <w:r>
        <w:t xml:space="preserve"> </w:t>
      </w:r>
      <w:r>
        <w:rPr>
          <w:shd w:val="clear" w:color="auto" w:fill="00FFFF"/>
        </w:rPr>
        <w:t>follows: (1) the greater of (A) 60 percent of the Tier 1 Monthly</w:t>
      </w:r>
      <w:r>
        <w:t xml:space="preserve"> </w:t>
      </w:r>
      <w:r>
        <w:rPr>
          <w:shd w:val="clear" w:color="auto" w:fill="00FFFF"/>
        </w:rPr>
        <w:t>Block amounts for the applicable month, as listed in</w:t>
      </w:r>
    </w:p>
    <w:p w14:paraId="66043D43" w14:textId="77777777" w:rsidR="00C409B1" w:rsidRDefault="00CF0457">
      <w:pPr>
        <w:pStyle w:val="BodyText"/>
        <w:spacing w:line="237" w:lineRule="auto"/>
        <w:ind w:left="2260" w:right="163"/>
      </w:pPr>
      <w:r>
        <w:rPr>
          <w:shd w:val="clear" w:color="auto" w:fill="00FFFF"/>
        </w:rPr>
        <w:t>section 1.3 of this exhibit or (B) the Tier 1 Monthly Block</w:t>
      </w:r>
      <w:r>
        <w:t xml:space="preserve"> </w:t>
      </w:r>
      <w:r>
        <w:rPr>
          <w:shd w:val="clear" w:color="auto" w:fill="00FFFF"/>
        </w:rPr>
        <w:t>amounts for the applicable month, as listed in section 1.3 of</w:t>
      </w:r>
      <w:r>
        <w:t xml:space="preserve"> </w:t>
      </w:r>
      <w:r>
        <w:rPr>
          <w:shd w:val="clear" w:color="auto" w:fill="00FFFF"/>
        </w:rPr>
        <w:t xml:space="preserve">this exhibit, </w:t>
      </w:r>
      <w:r>
        <w:rPr>
          <w:color w:val="0000FF"/>
          <w:u w:val="single" w:color="0000FF"/>
          <w:shd w:val="clear" w:color="auto" w:fill="00FFFF"/>
        </w:rPr>
        <w:t xml:space="preserve">[PB(PS1] [PB(PS2] [LLP3] </w:t>
      </w:r>
      <w:r>
        <w:rPr>
          <w:shd w:val="clear" w:color="auto" w:fill="00FFFF"/>
        </w:rPr>
        <w:t>minus (2) the Shaping</w:t>
      </w:r>
      <w:r>
        <w:t xml:space="preserve"> </w:t>
      </w:r>
      <w:r>
        <w:rPr>
          <w:shd w:val="clear" w:color="auto" w:fill="00FFFF"/>
        </w:rPr>
        <w:t>Capacity for the given month, as listed in section 1.4.1 of</w:t>
      </w:r>
    </w:p>
    <w:p w14:paraId="4BAF13B2" w14:textId="77777777" w:rsidR="00C409B1" w:rsidRDefault="00CF0457">
      <w:pPr>
        <w:pStyle w:val="BodyText"/>
        <w:spacing w:line="284" w:lineRule="exact"/>
        <w:ind w:left="2260"/>
      </w:pPr>
      <w:r>
        <w:rPr>
          <w:shd w:val="clear" w:color="auto" w:fill="00FFFF"/>
        </w:rPr>
        <w:t>this exhibit</w:t>
      </w:r>
      <w:r>
        <w:rPr>
          <w:color w:val="0000FF"/>
          <w:u w:val="single" w:color="0000FF"/>
          <w:shd w:val="clear" w:color="auto" w:fill="00FFFF"/>
        </w:rPr>
        <w:t xml:space="preserve">[OJ(P64] [OJ(P65] [BA(P66] [LLP7] </w:t>
      </w:r>
      <w:r>
        <w:rPr>
          <w:shd w:val="clear" w:color="auto" w:fill="00FFFF"/>
        </w:rPr>
        <w:t>.</w:t>
      </w:r>
    </w:p>
    <w:p w14:paraId="16938422" w14:textId="77777777" w:rsidR="00C409B1" w:rsidRDefault="00C409B1">
      <w:pPr>
        <w:pStyle w:val="BodyText"/>
        <w:rPr>
          <w:sz w:val="28"/>
        </w:rPr>
      </w:pPr>
    </w:p>
    <w:p w14:paraId="3440D87B" w14:textId="77777777" w:rsidR="00C409B1" w:rsidRDefault="00CF0457">
      <w:pPr>
        <w:pStyle w:val="BodyText"/>
        <w:spacing w:before="230" w:line="237" w:lineRule="auto"/>
        <w:ind w:left="2260" w:right="128"/>
      </w:pPr>
      <w:r>
        <w:t>If we remove the “(1)” and the “(2)”, I think the resulting math makes sense, because then the comparison is just (A) vs. (B):</w:t>
      </w:r>
    </w:p>
    <w:p w14:paraId="36BDAF24" w14:textId="77777777" w:rsidR="00C409B1" w:rsidRDefault="00C409B1">
      <w:pPr>
        <w:pStyle w:val="BodyText"/>
        <w:spacing w:before="1"/>
        <w:rPr>
          <w:sz w:val="20"/>
        </w:rPr>
      </w:pPr>
    </w:p>
    <w:p w14:paraId="25F4C45B" w14:textId="77777777" w:rsidR="00C409B1" w:rsidRDefault="00CF0457">
      <w:pPr>
        <w:pStyle w:val="BodyText"/>
        <w:spacing w:before="103" w:line="237" w:lineRule="auto"/>
        <w:ind w:left="2260" w:right="337"/>
      </w:pPr>
      <w:r>
        <w:rPr>
          <w:shd w:val="clear" w:color="auto" w:fill="00FFFF"/>
        </w:rPr>
        <w:t>BPA shall calculate the minimum hourly energy amounts as</w:t>
      </w:r>
      <w:r>
        <w:t xml:space="preserve"> </w:t>
      </w:r>
      <w:r>
        <w:rPr>
          <w:shd w:val="clear" w:color="auto" w:fill="00FFFF"/>
        </w:rPr>
        <w:t>follows: the greater of (A) 60 percent of the Tier 1 Monthly</w:t>
      </w:r>
      <w:r>
        <w:t xml:space="preserve"> </w:t>
      </w:r>
      <w:r>
        <w:rPr>
          <w:shd w:val="clear" w:color="auto" w:fill="00FFFF"/>
        </w:rPr>
        <w:t>Block amounts for the applicable month, as listed in</w:t>
      </w:r>
    </w:p>
    <w:p w14:paraId="3A1DAD74" w14:textId="77777777" w:rsidR="00C409B1" w:rsidRDefault="00CF0457">
      <w:pPr>
        <w:pStyle w:val="BodyText"/>
        <w:spacing w:line="237" w:lineRule="auto"/>
        <w:ind w:left="2260" w:right="163"/>
      </w:pPr>
      <w:r>
        <w:rPr>
          <w:shd w:val="clear" w:color="auto" w:fill="00FFFF"/>
        </w:rPr>
        <w:t>section 1.3 of this exhibit or (B) the Tier 1 Monthly Block</w:t>
      </w:r>
      <w:r>
        <w:t xml:space="preserve"> </w:t>
      </w:r>
      <w:r>
        <w:rPr>
          <w:shd w:val="clear" w:color="auto" w:fill="00FFFF"/>
        </w:rPr>
        <w:t>amounts for the applicable month, as listed in section 1.3 of</w:t>
      </w:r>
      <w:r>
        <w:t xml:space="preserve"> </w:t>
      </w:r>
      <w:r>
        <w:rPr>
          <w:shd w:val="clear" w:color="auto" w:fill="00FFFF"/>
        </w:rPr>
        <w:t>this exhibit, minus the Shaping Capacity for the given month,</w:t>
      </w:r>
      <w:r>
        <w:t xml:space="preserve"> </w:t>
      </w:r>
      <w:r>
        <w:rPr>
          <w:shd w:val="clear" w:color="auto" w:fill="00FFFF"/>
        </w:rPr>
        <w:t>as listed in section 1.4.1 of this exhibit.</w:t>
      </w:r>
    </w:p>
    <w:p w14:paraId="1F93FF2E" w14:textId="77777777" w:rsidR="00C409B1" w:rsidRDefault="00C409B1">
      <w:pPr>
        <w:pStyle w:val="BodyText"/>
        <w:spacing w:before="1"/>
        <w:rPr>
          <w:sz w:val="28"/>
        </w:rPr>
      </w:pPr>
    </w:p>
    <w:p w14:paraId="0BB1387E" w14:textId="77777777" w:rsidR="00C409B1" w:rsidRDefault="00CF0457">
      <w:pPr>
        <w:pStyle w:val="BodyText"/>
        <w:ind w:left="2260"/>
      </w:pPr>
      <w:r>
        <w:t>If I’m wrong on this, then I’m not sure how 1.4.3 is intended to</w:t>
      </w:r>
    </w:p>
    <w:p w14:paraId="7397917F" w14:textId="77777777" w:rsidR="00C409B1" w:rsidRDefault="00CF0457">
      <w:pPr>
        <w:pStyle w:val="BodyText"/>
        <w:spacing w:before="83"/>
        <w:ind w:left="2260"/>
      </w:pPr>
      <w:r>
        <w:t>work.</w:t>
      </w:r>
    </w:p>
    <w:p w14:paraId="56826984" w14:textId="3F5E9531" w:rsidR="00C409B1" w:rsidRDefault="00CF0457" w:rsidP="00CF0457">
      <w:pPr>
        <w:pStyle w:val="BodyText"/>
        <w:spacing w:before="7"/>
        <w:rPr>
          <w:rFonts w:ascii="Gill Sans MT"/>
          <w:sz w:val="21"/>
        </w:rPr>
      </w:pPr>
      <w:r>
        <w:pict w14:anchorId="483912D5">
          <v:shape id="_x0000_s1026" style="position:absolute;margin-left:78pt;margin-top:13.4pt;width:106.3pt;height:.1pt;z-index:-251656192;mso-wrap-distance-left:0;mso-wrap-distance-right:0;mso-position-horizontal-relative:page" coordorigin="1560,268" coordsize="2126,0" path="m1560,268r2125,e" filled="f" strokeweight=".17183mm">
            <v:path arrowok="t"/>
            <w10:wrap type="topAndBottom" anchorx="page"/>
          </v:shape>
        </w:pict>
      </w:r>
    </w:p>
    <w:sectPr w:rsidR="00C409B1">
      <w:pgSz w:w="12240" w:h="15840"/>
      <w:pgMar w:top="100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9B1"/>
    <w:rsid w:val="00350032"/>
    <w:rsid w:val="00C409B1"/>
    <w:rsid w:val="00C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06B5CE2"/>
  <w15:docId w15:val="{D4A0E0D9-4CAC-4BD8-82FD-F4145AAC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Company>Bonneville Power Administration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Schaefer,Tara C (CONTR) - PS-6</cp:lastModifiedBy>
  <cp:revision>2</cp:revision>
  <dcterms:created xsi:type="dcterms:W3CDTF">2024-12-16T17:00:00Z</dcterms:created>
  <dcterms:modified xsi:type="dcterms:W3CDTF">2024-12-16T17:03:00Z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Acrobat PDFMaker 17 for Microsoft Outlook</vt:lpwstr>
  </property>
  <property fmtid="{D5CDD505-2E9C-101B-9397-08002B2CF9AE}" pid="4" name="LastSaved">
    <vt:filetime>2024-12-16T00:00:00Z</vt:filetime>
  </property>
</Properties>
</file>