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10"/>
        <w:gridCol w:w="5310"/>
      </w:tblGrid>
      <w:tr w:rsidR="009C48CB" w14:paraId="3573DAE9" w14:textId="77777777" w:rsidTr="00D676DA"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FFA58" w14:textId="54986719" w:rsidR="009C48CB" w:rsidRDefault="009C48CB" w:rsidP="001372E8">
            <w:pPr>
              <w:pStyle w:val="NoSpacing"/>
              <w:ind w:left="-108"/>
              <w:jc w:val="center"/>
              <w:rPr>
                <w:rFonts w:ascii="Arial" w:hAnsi="Arial" w:cs="Arial"/>
                <w:b/>
                <w:color w:val="943634" w:themeColor="accent2" w:themeShade="BF"/>
                <w:spacing w:val="20"/>
                <w:sz w:val="24"/>
              </w:rPr>
            </w:pPr>
            <w:r w:rsidRPr="003941B6">
              <w:rPr>
                <w:noProof/>
              </w:rPr>
              <w:drawing>
                <wp:inline distT="0" distB="0" distL="0" distR="0" wp14:anchorId="75B8112E" wp14:editId="2CE851A8">
                  <wp:extent cx="6774511" cy="38961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6838" cy="39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2E8" w14:paraId="5B30F344" w14:textId="77777777" w:rsidTr="000917B4">
        <w:trPr>
          <w:trHeight w:val="108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00467F"/>
          </w:tcPr>
          <w:p w14:paraId="3EE683C7" w14:textId="6BD68625" w:rsidR="001372E8" w:rsidRPr="00D676DA" w:rsidRDefault="009113BF" w:rsidP="004E0895">
            <w:pPr>
              <w:pStyle w:val="NoSpacing"/>
              <w:rPr>
                <w:rFonts w:ascii="Eras Light ITC" w:hAnsi="Eras Light ITC" w:cs="Cordia New"/>
                <w:color w:val="FFFFFF" w:themeColor="background1"/>
                <w:spacing w:val="20"/>
                <w:sz w:val="72"/>
              </w:rPr>
            </w:pPr>
            <w:r>
              <w:rPr>
                <w:rFonts w:ascii="Eras Light ITC" w:hAnsi="Eras Light ITC" w:cs="Cordia New"/>
                <w:color w:val="FFFFFF" w:themeColor="background1"/>
                <w:spacing w:val="20"/>
                <w:sz w:val="52"/>
              </w:rPr>
              <w:t xml:space="preserve">Clearance Holder Program </w:t>
            </w:r>
            <w:r w:rsidR="004E0895">
              <w:rPr>
                <w:rFonts w:ascii="Eras Light ITC" w:hAnsi="Eras Light ITC" w:cs="Cordia New"/>
                <w:color w:val="FFFFFF" w:themeColor="background1"/>
                <w:spacing w:val="20"/>
                <w:sz w:val="52"/>
              </w:rPr>
              <w:t>Changes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00467F"/>
          </w:tcPr>
          <w:p w14:paraId="1D337C36" w14:textId="29E19200" w:rsidR="001372E8" w:rsidRPr="00D676DA" w:rsidRDefault="009113BF" w:rsidP="004E0895">
            <w:pPr>
              <w:pStyle w:val="NoSpacing"/>
              <w:jc w:val="right"/>
              <w:rPr>
                <w:rFonts w:ascii="Eras Light ITC" w:hAnsi="Eras Light ITC" w:cs="Cordia New"/>
                <w:color w:val="FFFFFF" w:themeColor="background1"/>
                <w:spacing w:val="20"/>
                <w:sz w:val="32"/>
                <w:szCs w:val="32"/>
              </w:rPr>
            </w:pPr>
            <w:r>
              <w:rPr>
                <w:rFonts w:ascii="Eras Light ITC" w:hAnsi="Eras Light ITC" w:cs="Cordia New"/>
                <w:color w:val="FFFFFF" w:themeColor="background1"/>
                <w:spacing w:val="20"/>
                <w:sz w:val="32"/>
                <w:szCs w:val="32"/>
              </w:rPr>
              <w:t>September 2022</w:t>
            </w:r>
          </w:p>
        </w:tc>
      </w:tr>
      <w:tr w:rsidR="001372E8" w14:paraId="60A251CB" w14:textId="77777777" w:rsidTr="000917B4"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467F"/>
          </w:tcPr>
          <w:p w14:paraId="23FDF4BA" w14:textId="50087E6C" w:rsidR="001372E8" w:rsidRPr="00D676DA" w:rsidRDefault="004E0895" w:rsidP="009113BF">
            <w:pPr>
              <w:pStyle w:val="NoSpacing"/>
              <w:rPr>
                <w:rFonts w:ascii="Eras Light ITC" w:hAnsi="Eras Light ITC" w:cs="Cordia New"/>
                <w:color w:val="FFFFFF" w:themeColor="background1"/>
                <w:spacing w:val="20"/>
                <w:sz w:val="72"/>
              </w:rPr>
            </w:pPr>
            <w:r>
              <w:rPr>
                <w:rFonts w:ascii="Eras Light ITC" w:hAnsi="Eras Light ITC" w:cs="Cordia New"/>
                <w:color w:val="FFFFFF" w:themeColor="background1"/>
                <w:spacing w:val="20"/>
                <w:sz w:val="56"/>
              </w:rPr>
              <w:t>FAQ</w:t>
            </w:r>
          </w:p>
        </w:tc>
      </w:tr>
    </w:tbl>
    <w:p w14:paraId="0347B9C3" w14:textId="1C4E5CFA" w:rsidR="00391FE7" w:rsidRPr="002D5294" w:rsidRDefault="00C669F2" w:rsidP="00C669F2">
      <w:pPr>
        <w:pStyle w:val="NoSpacing"/>
        <w:tabs>
          <w:tab w:val="left" w:pos="6491"/>
        </w:tabs>
        <w:rPr>
          <w:b/>
          <w:i/>
          <w:szCs w:val="24"/>
        </w:rPr>
      </w:pPr>
      <w:r w:rsidRPr="002D5294">
        <w:rPr>
          <w:b/>
          <w:i/>
          <w:szCs w:val="24"/>
        </w:rPr>
        <w:tab/>
      </w:r>
    </w:p>
    <w:p w14:paraId="48CE2C83" w14:textId="60467496" w:rsidR="00C669F2" w:rsidRPr="002D5294" w:rsidRDefault="00C669F2" w:rsidP="007A43B8">
      <w:pPr>
        <w:pStyle w:val="NoSpacing"/>
        <w:rPr>
          <w:sz w:val="20"/>
        </w:rPr>
      </w:pPr>
      <w:r w:rsidRPr="002D5294">
        <w:rPr>
          <w:b/>
          <w:i/>
          <w:szCs w:val="24"/>
        </w:rPr>
        <w:t>Please see questions that may</w:t>
      </w:r>
      <w:r w:rsidR="004E0895">
        <w:rPr>
          <w:b/>
          <w:i/>
          <w:szCs w:val="24"/>
        </w:rPr>
        <w:t xml:space="preserve"> help aid in your understanding</w:t>
      </w:r>
      <w:r w:rsidRPr="002D5294">
        <w:rPr>
          <w:b/>
          <w:i/>
          <w:szCs w:val="24"/>
        </w:rPr>
        <w:t xml:space="preserve">. </w:t>
      </w:r>
      <w:r w:rsidR="007A43B8" w:rsidRPr="002D5294">
        <w:rPr>
          <w:b/>
          <w:i/>
          <w:szCs w:val="24"/>
        </w:rPr>
        <w:t>For questions or more information about the changes</w:t>
      </w:r>
      <w:r w:rsidR="004E0895">
        <w:rPr>
          <w:b/>
          <w:i/>
          <w:szCs w:val="24"/>
        </w:rPr>
        <w:t xml:space="preserve"> </w:t>
      </w:r>
      <w:r w:rsidR="007A43B8" w:rsidRPr="002D5294">
        <w:rPr>
          <w:b/>
          <w:i/>
          <w:szCs w:val="24"/>
        </w:rPr>
        <w:t>please contact the Project Manage</w:t>
      </w:r>
      <w:r w:rsidR="00BA17C1">
        <w:rPr>
          <w:b/>
          <w:i/>
          <w:szCs w:val="24"/>
        </w:rPr>
        <w:t>r</w:t>
      </w:r>
      <w:r w:rsidR="0001348A">
        <w:rPr>
          <w:b/>
          <w:i/>
          <w:szCs w:val="24"/>
        </w:rPr>
        <w:t xml:space="preserve"> Sandy Boardman at </w:t>
      </w:r>
      <w:r w:rsidR="0001348A" w:rsidRPr="0001348A">
        <w:rPr>
          <w:b/>
          <w:i/>
          <w:szCs w:val="24"/>
        </w:rPr>
        <w:t>sxboardman@bpa.gov</w:t>
      </w:r>
    </w:p>
    <w:p w14:paraId="7B85D445" w14:textId="77777777" w:rsidR="00C669F2" w:rsidRPr="002D5294" w:rsidRDefault="00C669F2" w:rsidP="00C669F2">
      <w:pPr>
        <w:pStyle w:val="NoSpacing"/>
        <w:tabs>
          <w:tab w:val="left" w:pos="6491"/>
        </w:tabs>
        <w:rPr>
          <w:b/>
          <w:i/>
          <w:szCs w:val="24"/>
        </w:rPr>
      </w:pPr>
    </w:p>
    <w:p w14:paraId="0551AE0D" w14:textId="288E70B0" w:rsidR="00C669F2" w:rsidRPr="002D5294" w:rsidRDefault="00C669F2" w:rsidP="00C669F2">
      <w:pPr>
        <w:pStyle w:val="NoSpacing"/>
        <w:tabs>
          <w:tab w:val="left" w:pos="6491"/>
        </w:tabs>
        <w:rPr>
          <w:b/>
          <w:i/>
          <w:szCs w:val="24"/>
          <w:u w:val="single"/>
        </w:rPr>
      </w:pPr>
      <w:r w:rsidRPr="002D5294">
        <w:rPr>
          <w:b/>
          <w:i/>
          <w:szCs w:val="24"/>
          <w:u w:val="single"/>
        </w:rPr>
        <w:t xml:space="preserve">Useful links: </w:t>
      </w:r>
    </w:p>
    <w:p w14:paraId="741D0350" w14:textId="6B8EE8E6" w:rsidR="00C669F2" w:rsidRPr="002D5294" w:rsidRDefault="00C669F2" w:rsidP="00C669F2">
      <w:pPr>
        <w:pStyle w:val="NoSpacing"/>
        <w:tabs>
          <w:tab w:val="left" w:pos="6491"/>
        </w:tabs>
        <w:rPr>
          <w:b/>
          <w:i/>
          <w:szCs w:val="24"/>
        </w:rPr>
      </w:pPr>
      <w:r w:rsidRPr="002D5294">
        <w:rPr>
          <w:b/>
          <w:i/>
          <w:szCs w:val="24"/>
        </w:rPr>
        <w:t>Rules of Conduct Handbook</w:t>
      </w:r>
      <w:r w:rsidR="00363740" w:rsidRPr="002D5294">
        <w:rPr>
          <w:b/>
          <w:i/>
          <w:szCs w:val="24"/>
        </w:rPr>
        <w:t xml:space="preserve"> </w:t>
      </w:r>
      <w:hyperlink r:id="rId12" w:history="1">
        <w:r w:rsidR="00363740" w:rsidRPr="00363740">
          <w:rPr>
            <w:rStyle w:val="Hyperlink"/>
            <w:b/>
            <w:i/>
            <w:szCs w:val="24"/>
          </w:rPr>
          <w:t>ROCH</w:t>
        </w:r>
      </w:hyperlink>
    </w:p>
    <w:p w14:paraId="7667C326" w14:textId="4EAA1066" w:rsidR="00C669F2" w:rsidRPr="002D5294" w:rsidRDefault="00C669F2" w:rsidP="00C669F2">
      <w:pPr>
        <w:pStyle w:val="NoSpacing"/>
        <w:tabs>
          <w:tab w:val="left" w:pos="6491"/>
        </w:tabs>
        <w:rPr>
          <w:b/>
          <w:i/>
          <w:szCs w:val="24"/>
        </w:rPr>
      </w:pPr>
      <w:r w:rsidRPr="002D5294">
        <w:rPr>
          <w:b/>
          <w:i/>
          <w:szCs w:val="24"/>
        </w:rPr>
        <w:t>Contractor Safety and Health Requirements for Prime and Subcontractors</w:t>
      </w:r>
      <w:r w:rsidR="004E0895">
        <w:t xml:space="preserve"> </w:t>
      </w:r>
      <w:hyperlink r:id="rId13" w:history="1">
        <w:r w:rsidR="00363740" w:rsidRPr="00363740">
          <w:rPr>
            <w:rStyle w:val="Hyperlink"/>
            <w:b/>
            <w:i/>
            <w:szCs w:val="24"/>
          </w:rPr>
          <w:t>CSHRPS</w:t>
        </w:r>
      </w:hyperlink>
    </w:p>
    <w:p w14:paraId="6B073111" w14:textId="3CA22671" w:rsidR="00C669F2" w:rsidRDefault="00C669F2" w:rsidP="001372E8">
      <w:pPr>
        <w:pStyle w:val="NoSpacing"/>
        <w:rPr>
          <w:b/>
          <w:i/>
          <w:szCs w:val="24"/>
        </w:rPr>
      </w:pPr>
      <w:r w:rsidRPr="002D5294">
        <w:rPr>
          <w:b/>
          <w:i/>
          <w:szCs w:val="24"/>
        </w:rPr>
        <w:t xml:space="preserve">Bonneville Purchasing Instructions </w:t>
      </w:r>
      <w:hyperlink r:id="rId14" w:history="1">
        <w:r w:rsidR="00363740" w:rsidRPr="00363740">
          <w:rPr>
            <w:rStyle w:val="Hyperlink"/>
            <w:b/>
            <w:i/>
            <w:szCs w:val="24"/>
          </w:rPr>
          <w:t>BPI</w:t>
        </w:r>
      </w:hyperlink>
    </w:p>
    <w:p w14:paraId="50219395" w14:textId="58B1D5E2" w:rsidR="00595162" w:rsidRDefault="004C5C29" w:rsidP="00595162">
      <w:pPr>
        <w:pStyle w:val="NoSpacing"/>
        <w:rPr>
          <w:b/>
          <w:i/>
          <w:szCs w:val="24"/>
        </w:rPr>
      </w:pPr>
      <w:hyperlink r:id="rId15" w:history="1">
        <w:r w:rsidR="00595162" w:rsidRPr="00595162">
          <w:rPr>
            <w:rStyle w:val="Hyperlink"/>
            <w:b/>
            <w:i/>
            <w:szCs w:val="24"/>
          </w:rPr>
          <w:t>Contractors Guide to Onboarding and Permitting</w:t>
        </w:r>
        <w:r w:rsidR="00595162" w:rsidRPr="00595162">
          <w:rPr>
            <w:rStyle w:val="Hyperlink"/>
          </w:rPr>
          <w:t xml:space="preserve"> </w:t>
        </w:r>
      </w:hyperlink>
    </w:p>
    <w:p w14:paraId="2D6E8C9D" w14:textId="1B9F8520" w:rsidR="00595162" w:rsidRPr="002D5294" w:rsidRDefault="004C5C29" w:rsidP="00595162">
      <w:pPr>
        <w:pStyle w:val="NoSpacing"/>
        <w:rPr>
          <w:rStyle w:val="Hyperlink"/>
          <w:b/>
          <w:i/>
          <w:szCs w:val="24"/>
        </w:rPr>
      </w:pPr>
      <w:hyperlink r:id="rId16" w:history="1">
        <w:r w:rsidR="00595162" w:rsidRPr="00595162">
          <w:rPr>
            <w:rStyle w:val="Hyperlink"/>
            <w:b/>
            <w:i/>
            <w:szCs w:val="24"/>
          </w:rPr>
          <w:t>Contractor Onboarding Form</w:t>
        </w:r>
      </w:hyperlink>
      <w:r w:rsidR="00595162">
        <w:rPr>
          <w:b/>
          <w:i/>
          <w:szCs w:val="24"/>
        </w:rPr>
        <w:t xml:space="preserve"> </w:t>
      </w:r>
    </w:p>
    <w:p w14:paraId="248139D1" w14:textId="3802562C" w:rsidR="00C669F2" w:rsidRPr="00A20374" w:rsidRDefault="00C669F2" w:rsidP="001372E8">
      <w:pPr>
        <w:pStyle w:val="NoSpacing"/>
        <w:rPr>
          <w:b/>
          <w:i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4505"/>
        <w:gridCol w:w="5670"/>
      </w:tblGrid>
      <w:tr w:rsidR="00595162" w:rsidRPr="00A20374" w14:paraId="7521345A" w14:textId="77777777" w:rsidTr="00595162">
        <w:trPr>
          <w:trHeight w:val="395"/>
          <w:jc w:val="center"/>
        </w:trPr>
        <w:tc>
          <w:tcPr>
            <w:tcW w:w="445" w:type="dxa"/>
            <w:shd w:val="clear" w:color="auto" w:fill="00467F"/>
          </w:tcPr>
          <w:p w14:paraId="26E20292" w14:textId="77777777" w:rsidR="00595162" w:rsidRDefault="00595162" w:rsidP="000917B4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00467F"/>
          </w:tcPr>
          <w:p w14:paraId="5D743006" w14:textId="3822B762" w:rsidR="00595162" w:rsidRPr="00A20374" w:rsidRDefault="00595162" w:rsidP="000917B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Question:</w:t>
            </w:r>
          </w:p>
        </w:tc>
        <w:tc>
          <w:tcPr>
            <w:tcW w:w="5670" w:type="dxa"/>
            <w:shd w:val="clear" w:color="auto" w:fill="00467F"/>
          </w:tcPr>
          <w:p w14:paraId="4D634A2B" w14:textId="77777777" w:rsidR="00595162" w:rsidRDefault="00595162" w:rsidP="000917B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Answer:</w:t>
            </w:r>
          </w:p>
        </w:tc>
      </w:tr>
      <w:tr w:rsidR="00595162" w:rsidRPr="00A20374" w14:paraId="48866F0A" w14:textId="77777777" w:rsidTr="00595162">
        <w:trPr>
          <w:trHeight w:val="620"/>
          <w:jc w:val="center"/>
        </w:trPr>
        <w:tc>
          <w:tcPr>
            <w:tcW w:w="445" w:type="dxa"/>
          </w:tcPr>
          <w:p w14:paraId="7B001F54" w14:textId="0A43CEF9" w:rsidR="00595162" w:rsidRDefault="00595162" w:rsidP="00BC063B">
            <w:r>
              <w:t>1</w:t>
            </w:r>
          </w:p>
        </w:tc>
        <w:tc>
          <w:tcPr>
            <w:tcW w:w="4505" w:type="dxa"/>
          </w:tcPr>
          <w:p w14:paraId="7701F000" w14:textId="71F27174" w:rsidR="00595162" w:rsidRDefault="009113BF" w:rsidP="00595162">
            <w:r>
              <w:rPr>
                <w:rFonts w:ascii="Cambria" w:hAnsi="Cambria"/>
              </w:rPr>
              <w:t>What do I do if I have an already awarded contract and planned outage with a BPA Clearance Holder assigned?</w:t>
            </w:r>
          </w:p>
        </w:tc>
        <w:tc>
          <w:tcPr>
            <w:tcW w:w="5670" w:type="dxa"/>
          </w:tcPr>
          <w:p w14:paraId="20611C46" w14:textId="7519DD72" w:rsidR="00595162" w:rsidRDefault="0001348A" w:rsidP="00B967D3">
            <w:pPr>
              <w:pStyle w:val="NoSpacing"/>
            </w:pPr>
            <w:r>
              <w:t>Current contracts will continue to have BPA clearance holder support.  BPA expects new contracts to be switching over to the new process.</w:t>
            </w:r>
          </w:p>
        </w:tc>
      </w:tr>
      <w:tr w:rsidR="00595162" w:rsidRPr="00A20374" w14:paraId="3B06218F" w14:textId="77777777" w:rsidTr="00595162">
        <w:trPr>
          <w:trHeight w:val="620"/>
          <w:jc w:val="center"/>
        </w:trPr>
        <w:tc>
          <w:tcPr>
            <w:tcW w:w="445" w:type="dxa"/>
          </w:tcPr>
          <w:p w14:paraId="078E5DCE" w14:textId="6667E22C" w:rsidR="00595162" w:rsidRPr="00842B91" w:rsidRDefault="00595162" w:rsidP="00BC063B">
            <w:r>
              <w:t>2</w:t>
            </w:r>
          </w:p>
        </w:tc>
        <w:tc>
          <w:tcPr>
            <w:tcW w:w="4505" w:type="dxa"/>
          </w:tcPr>
          <w:p w14:paraId="15E24DA5" w14:textId="3C5C8DDB" w:rsidR="00595162" w:rsidRPr="00842B91" w:rsidRDefault="009113BF" w:rsidP="00DA6EA1">
            <w:r>
              <w:rPr>
                <w:rFonts w:ascii="Cambria" w:hAnsi="Cambria"/>
              </w:rPr>
              <w:t>Do all potential clearance holders have to have approved Electrical Worker Permits (EWPs) prior to signing up for the certification course?</w:t>
            </w:r>
          </w:p>
        </w:tc>
        <w:tc>
          <w:tcPr>
            <w:tcW w:w="5670" w:type="dxa"/>
          </w:tcPr>
          <w:p w14:paraId="25C96A77" w14:textId="466311DE" w:rsidR="00595162" w:rsidRDefault="0001348A" w:rsidP="0087158A">
            <w:pPr>
              <w:pStyle w:val="NoSpacing"/>
            </w:pPr>
            <w:r>
              <w:t>Yes, they will need to have Electrical Worker Permits before seeking certification to hold clearances.</w:t>
            </w:r>
          </w:p>
        </w:tc>
      </w:tr>
      <w:tr w:rsidR="00595162" w:rsidRPr="00A20374" w14:paraId="72C366FA" w14:textId="77777777" w:rsidTr="00595162">
        <w:trPr>
          <w:trHeight w:val="620"/>
          <w:jc w:val="center"/>
        </w:trPr>
        <w:tc>
          <w:tcPr>
            <w:tcW w:w="445" w:type="dxa"/>
          </w:tcPr>
          <w:p w14:paraId="5F75ED4F" w14:textId="3A5CA945" w:rsidR="00595162" w:rsidRDefault="00595162" w:rsidP="000917B4">
            <w:r>
              <w:t>3</w:t>
            </w:r>
          </w:p>
        </w:tc>
        <w:tc>
          <w:tcPr>
            <w:tcW w:w="4505" w:type="dxa"/>
          </w:tcPr>
          <w:p w14:paraId="75424BFA" w14:textId="6D6AAE29" w:rsidR="00595162" w:rsidRDefault="009113BF" w:rsidP="0001348A">
            <w:r>
              <w:rPr>
                <w:rFonts w:ascii="Cambria" w:hAnsi="Cambria"/>
              </w:rPr>
              <w:t xml:space="preserve">How do we sign up for the clearance certification course? </w:t>
            </w:r>
          </w:p>
        </w:tc>
        <w:tc>
          <w:tcPr>
            <w:tcW w:w="5670" w:type="dxa"/>
          </w:tcPr>
          <w:p w14:paraId="0B69BEA5" w14:textId="49646651" w:rsidR="00595162" w:rsidRDefault="007F20EC" w:rsidP="007F20EC">
            <w:pPr>
              <w:pStyle w:val="NoSpacing"/>
            </w:pPr>
            <w:r>
              <w:t xml:space="preserve">Contact Substation Operations (TOZ workgroup) at </w:t>
            </w:r>
            <w:hyperlink r:id="rId17" w:history="1">
              <w:r>
                <w:rPr>
                  <w:rStyle w:val="Hyperlink"/>
                </w:rPr>
                <w:t>subops@bpa.gov</w:t>
              </w:r>
            </w:hyperlink>
          </w:p>
        </w:tc>
      </w:tr>
      <w:tr w:rsidR="00595162" w:rsidRPr="00A20374" w14:paraId="47DF1308" w14:textId="77777777" w:rsidTr="00595162">
        <w:trPr>
          <w:trHeight w:val="521"/>
          <w:jc w:val="center"/>
        </w:trPr>
        <w:tc>
          <w:tcPr>
            <w:tcW w:w="445" w:type="dxa"/>
          </w:tcPr>
          <w:p w14:paraId="75C92DC8" w14:textId="0FD69C81" w:rsidR="00595162" w:rsidRPr="00842B91" w:rsidRDefault="00595162" w:rsidP="000917B4">
            <w:r>
              <w:t>4</w:t>
            </w:r>
          </w:p>
        </w:tc>
        <w:tc>
          <w:tcPr>
            <w:tcW w:w="4505" w:type="dxa"/>
          </w:tcPr>
          <w:p w14:paraId="4D527703" w14:textId="2640D1B7" w:rsidR="00595162" w:rsidRPr="00842B91" w:rsidRDefault="009113BF" w:rsidP="000917B4">
            <w:r>
              <w:rPr>
                <w:rFonts w:ascii="Cambria" w:hAnsi="Cambria"/>
              </w:rPr>
              <w:t>Who submits the clearance holder checklist and to whom?</w:t>
            </w:r>
          </w:p>
        </w:tc>
        <w:tc>
          <w:tcPr>
            <w:tcW w:w="5670" w:type="dxa"/>
          </w:tcPr>
          <w:p w14:paraId="6FAC8108" w14:textId="243E3BEF" w:rsidR="00595162" w:rsidRDefault="0001348A" w:rsidP="008476A8">
            <w:pPr>
              <w:pStyle w:val="NoSpacing"/>
            </w:pPr>
            <w:r>
              <w:t xml:space="preserve">As specified on the checklist and CSHRPS, it’s to be submitted to the </w:t>
            </w:r>
            <w:r w:rsidR="008476A8">
              <w:t>Contracting Officer’s Representative</w:t>
            </w:r>
            <w:r>
              <w:t xml:space="preserve"> or Field Inspector.  Note: A copy is to be retained at the jobsite. </w:t>
            </w:r>
          </w:p>
        </w:tc>
      </w:tr>
      <w:tr w:rsidR="00595162" w:rsidRPr="00A20374" w14:paraId="47A5285F" w14:textId="77777777" w:rsidTr="00595162">
        <w:trPr>
          <w:trHeight w:val="521"/>
          <w:jc w:val="center"/>
        </w:trPr>
        <w:tc>
          <w:tcPr>
            <w:tcW w:w="445" w:type="dxa"/>
          </w:tcPr>
          <w:p w14:paraId="6E03BF76" w14:textId="5AEEFAF9" w:rsidR="00595162" w:rsidRDefault="00595162" w:rsidP="000917B4">
            <w:r>
              <w:t>5</w:t>
            </w:r>
          </w:p>
        </w:tc>
        <w:tc>
          <w:tcPr>
            <w:tcW w:w="4505" w:type="dxa"/>
          </w:tcPr>
          <w:p w14:paraId="079F4076" w14:textId="230411FF" w:rsidR="00595162" w:rsidRDefault="009113BF" w:rsidP="000917B4">
            <w:r>
              <w:rPr>
                <w:rFonts w:ascii="Cambria" w:hAnsi="Cambria"/>
              </w:rPr>
              <w:t>If we have a last minute clearance holder drop the project, can we request a resource from BPA to meet the outage?</w:t>
            </w:r>
          </w:p>
        </w:tc>
        <w:tc>
          <w:tcPr>
            <w:tcW w:w="5670" w:type="dxa"/>
          </w:tcPr>
          <w:p w14:paraId="0378AD83" w14:textId="4740263E" w:rsidR="00A863D1" w:rsidRDefault="008476A8" w:rsidP="00B967D3">
            <w:pPr>
              <w:pStyle w:val="NoSpacing"/>
            </w:pPr>
            <w:r>
              <w:t>Any Clearance Holder support requests should be made through your Contracting Officer or Contracting Officer’s Representative.</w:t>
            </w:r>
          </w:p>
        </w:tc>
      </w:tr>
      <w:tr w:rsidR="00595162" w:rsidRPr="00A20374" w14:paraId="663F41B4" w14:textId="77777777" w:rsidTr="00595162">
        <w:trPr>
          <w:trHeight w:val="521"/>
          <w:jc w:val="center"/>
        </w:trPr>
        <w:tc>
          <w:tcPr>
            <w:tcW w:w="445" w:type="dxa"/>
          </w:tcPr>
          <w:p w14:paraId="261DD127" w14:textId="1D1F1194" w:rsidR="00595162" w:rsidRDefault="00595162" w:rsidP="000917B4">
            <w:r>
              <w:t>6</w:t>
            </w:r>
          </w:p>
        </w:tc>
        <w:tc>
          <w:tcPr>
            <w:tcW w:w="4505" w:type="dxa"/>
          </w:tcPr>
          <w:p w14:paraId="1D627DF6" w14:textId="5751F778" w:rsidR="00595162" w:rsidRDefault="009113BF" w:rsidP="00A863D1">
            <w:r>
              <w:rPr>
                <w:rFonts w:ascii="Cambria" w:hAnsi="Cambria"/>
              </w:rPr>
              <w:t>Can the safety watcher also hold the clearance?</w:t>
            </w:r>
          </w:p>
        </w:tc>
        <w:tc>
          <w:tcPr>
            <w:tcW w:w="5670" w:type="dxa"/>
          </w:tcPr>
          <w:p w14:paraId="66870E5F" w14:textId="1166BD76" w:rsidR="00595162" w:rsidRDefault="004C5C29" w:rsidP="004C5C29">
            <w:pPr>
              <w:pStyle w:val="NoSpacing"/>
            </w:pPr>
            <w:r w:rsidRPr="004C5C29">
              <w:t xml:space="preserve">No, safety watching is a standalone duty. </w:t>
            </w:r>
            <w:r>
              <w:t xml:space="preserve"> </w:t>
            </w:r>
            <w:bookmarkStart w:id="0" w:name="_GoBack"/>
            <w:bookmarkEnd w:id="0"/>
            <w:r w:rsidRPr="004C5C29">
              <w:t xml:space="preserve">While Clearance Holders can also be safety watchers, they cannot complete both duties at the same time. </w:t>
            </w:r>
          </w:p>
        </w:tc>
      </w:tr>
      <w:tr w:rsidR="00595162" w:rsidRPr="00A20374" w14:paraId="22589754" w14:textId="77777777" w:rsidTr="00595162">
        <w:trPr>
          <w:trHeight w:val="521"/>
          <w:jc w:val="center"/>
        </w:trPr>
        <w:tc>
          <w:tcPr>
            <w:tcW w:w="445" w:type="dxa"/>
          </w:tcPr>
          <w:p w14:paraId="12A73331" w14:textId="4BF21C8D" w:rsidR="00595162" w:rsidRDefault="00595162" w:rsidP="00BA4022">
            <w:r>
              <w:t>7</w:t>
            </w:r>
          </w:p>
        </w:tc>
        <w:tc>
          <w:tcPr>
            <w:tcW w:w="4505" w:type="dxa"/>
          </w:tcPr>
          <w:p w14:paraId="76711880" w14:textId="2A8AC70A" w:rsidR="00595162" w:rsidRDefault="009113BF" w:rsidP="00BA4022">
            <w:r>
              <w:rPr>
                <w:rFonts w:ascii="Cambria" w:hAnsi="Cambria"/>
              </w:rPr>
              <w:t>Do current/active EWP have to resubmit an Attestation Application selecting “Clearance Certification”, or can that be an email?</w:t>
            </w:r>
          </w:p>
        </w:tc>
        <w:tc>
          <w:tcPr>
            <w:tcW w:w="5670" w:type="dxa"/>
          </w:tcPr>
          <w:p w14:paraId="6BC5E7C0" w14:textId="073EE393" w:rsidR="00595162" w:rsidRDefault="007F20EC" w:rsidP="007F20EC">
            <w:pPr>
              <w:pStyle w:val="NoSpacing"/>
            </w:pPr>
            <w:r>
              <w:t>Yes</w:t>
            </w:r>
            <w:r w:rsidRPr="007F20EC">
              <w:t>.  Utilize the e</w:t>
            </w:r>
            <w:r>
              <w:t xml:space="preserve">xisting form and check the box.  This is for </w:t>
            </w:r>
            <w:r w:rsidRPr="007F20EC">
              <w:t>NERC paperwork audit requirements.  Any request that falls outside of this method will be denied.</w:t>
            </w:r>
          </w:p>
        </w:tc>
      </w:tr>
      <w:tr w:rsidR="00595162" w:rsidRPr="00A20374" w14:paraId="1B9694EA" w14:textId="77777777" w:rsidTr="00595162">
        <w:trPr>
          <w:trHeight w:val="521"/>
          <w:jc w:val="center"/>
        </w:trPr>
        <w:tc>
          <w:tcPr>
            <w:tcW w:w="445" w:type="dxa"/>
          </w:tcPr>
          <w:p w14:paraId="0FEC4894" w14:textId="223E397F" w:rsidR="00595162" w:rsidRDefault="00595162" w:rsidP="00BA4022">
            <w:r>
              <w:t>8</w:t>
            </w:r>
          </w:p>
        </w:tc>
        <w:tc>
          <w:tcPr>
            <w:tcW w:w="4505" w:type="dxa"/>
          </w:tcPr>
          <w:p w14:paraId="3BB23E9E" w14:textId="5EA18B86" w:rsidR="00595162" w:rsidRDefault="009113BF" w:rsidP="00BA4022">
            <w:r w:rsidRPr="009113BF">
              <w:rPr>
                <w:rFonts w:ascii="Cambria" w:hAnsi="Cambria"/>
              </w:rPr>
              <w:t>How long does the whole process take for new clearance holders wh</w:t>
            </w:r>
            <w:r>
              <w:rPr>
                <w:rFonts w:ascii="Cambria" w:hAnsi="Cambria"/>
              </w:rPr>
              <w:t>o do not have a BPA work permit?</w:t>
            </w:r>
          </w:p>
        </w:tc>
        <w:tc>
          <w:tcPr>
            <w:tcW w:w="5670" w:type="dxa"/>
          </w:tcPr>
          <w:p w14:paraId="401909B7" w14:textId="6BA8EDB6" w:rsidR="00595162" w:rsidRDefault="008476A8" w:rsidP="008476A8">
            <w:pPr>
              <w:pStyle w:val="NoSpacing"/>
            </w:pPr>
            <w:r>
              <w:t xml:space="preserve">A work permit may require up to 4 months to complete background checks, followed by the permitting process.  It should be noted, the potential clearance holder can study the clearance holder rules in </w:t>
            </w:r>
            <w:r w:rsidR="009915BB">
              <w:t>preparation</w:t>
            </w:r>
            <w:r>
              <w:t xml:space="preserve"> for the test while waiting for the background investigation to be complete.</w:t>
            </w:r>
          </w:p>
        </w:tc>
      </w:tr>
      <w:tr w:rsidR="00595162" w:rsidRPr="00A20374" w14:paraId="7995CDDB" w14:textId="77777777" w:rsidTr="00595162">
        <w:trPr>
          <w:trHeight w:val="521"/>
          <w:jc w:val="center"/>
        </w:trPr>
        <w:tc>
          <w:tcPr>
            <w:tcW w:w="445" w:type="dxa"/>
          </w:tcPr>
          <w:p w14:paraId="4DAF02E0" w14:textId="483082AC" w:rsidR="00595162" w:rsidRDefault="00595162" w:rsidP="000F1E82">
            <w:r>
              <w:t>9</w:t>
            </w:r>
          </w:p>
        </w:tc>
        <w:tc>
          <w:tcPr>
            <w:tcW w:w="4505" w:type="dxa"/>
          </w:tcPr>
          <w:p w14:paraId="42582953" w14:textId="452F69A5" w:rsidR="00595162" w:rsidRDefault="00595162" w:rsidP="000F1E82"/>
        </w:tc>
        <w:tc>
          <w:tcPr>
            <w:tcW w:w="5670" w:type="dxa"/>
          </w:tcPr>
          <w:p w14:paraId="4B3634D6" w14:textId="1F0CB2AD" w:rsidR="00595162" w:rsidRDefault="00595162" w:rsidP="00B967D3">
            <w:pPr>
              <w:pStyle w:val="NoSpacing"/>
            </w:pPr>
          </w:p>
        </w:tc>
      </w:tr>
      <w:tr w:rsidR="00595162" w:rsidRPr="00A20374" w14:paraId="1C7572DC" w14:textId="77777777" w:rsidTr="00595162">
        <w:trPr>
          <w:trHeight w:val="521"/>
          <w:jc w:val="center"/>
        </w:trPr>
        <w:tc>
          <w:tcPr>
            <w:tcW w:w="445" w:type="dxa"/>
          </w:tcPr>
          <w:p w14:paraId="11EFA70D" w14:textId="2D6D90CB" w:rsidR="00595162" w:rsidRDefault="00595162" w:rsidP="000F1E82">
            <w:r>
              <w:lastRenderedPageBreak/>
              <w:t>10</w:t>
            </w:r>
          </w:p>
        </w:tc>
        <w:tc>
          <w:tcPr>
            <w:tcW w:w="4505" w:type="dxa"/>
          </w:tcPr>
          <w:p w14:paraId="49F085AE" w14:textId="33BB1557" w:rsidR="00595162" w:rsidRDefault="00595162" w:rsidP="000F1E82"/>
        </w:tc>
        <w:tc>
          <w:tcPr>
            <w:tcW w:w="5670" w:type="dxa"/>
          </w:tcPr>
          <w:p w14:paraId="2B454BB0" w14:textId="46F4ADC4" w:rsidR="00595162" w:rsidRDefault="00595162" w:rsidP="000F1E82">
            <w:pPr>
              <w:pStyle w:val="NoSpacing"/>
            </w:pPr>
          </w:p>
        </w:tc>
      </w:tr>
      <w:tr w:rsidR="00153914" w:rsidRPr="00A20374" w14:paraId="300CEB9B" w14:textId="77777777" w:rsidTr="001D2823">
        <w:trPr>
          <w:trHeight w:val="521"/>
          <w:jc w:val="center"/>
        </w:trPr>
        <w:tc>
          <w:tcPr>
            <w:tcW w:w="445" w:type="dxa"/>
          </w:tcPr>
          <w:p w14:paraId="3692BBE0" w14:textId="77777777" w:rsidR="00153914" w:rsidRDefault="00153914" w:rsidP="001D2823">
            <w:r>
              <w:t>11</w:t>
            </w:r>
          </w:p>
        </w:tc>
        <w:tc>
          <w:tcPr>
            <w:tcW w:w="4505" w:type="dxa"/>
          </w:tcPr>
          <w:p w14:paraId="363E59D7" w14:textId="315709B3" w:rsidR="00153914" w:rsidRDefault="00153914" w:rsidP="001D2823"/>
        </w:tc>
        <w:tc>
          <w:tcPr>
            <w:tcW w:w="5670" w:type="dxa"/>
          </w:tcPr>
          <w:p w14:paraId="1109624D" w14:textId="2B2E7BFB" w:rsidR="00153914" w:rsidRDefault="00153914" w:rsidP="001D2823">
            <w:pPr>
              <w:pStyle w:val="NoSpacing"/>
            </w:pPr>
          </w:p>
        </w:tc>
      </w:tr>
    </w:tbl>
    <w:p w14:paraId="4C380A5E" w14:textId="7F14AC91" w:rsidR="00135866" w:rsidRDefault="00135866" w:rsidP="001372E8">
      <w:pPr>
        <w:pStyle w:val="NoSpacing"/>
        <w:rPr>
          <w:color w:val="000000" w:themeColor="text1"/>
        </w:rPr>
      </w:pPr>
    </w:p>
    <w:p w14:paraId="50E0D764" w14:textId="7C95752B" w:rsidR="009113BF" w:rsidRDefault="009113BF" w:rsidP="001372E8">
      <w:pPr>
        <w:pStyle w:val="NoSpacing"/>
        <w:rPr>
          <w:color w:val="000000" w:themeColor="text1"/>
        </w:rPr>
      </w:pPr>
    </w:p>
    <w:p w14:paraId="01DE0644" w14:textId="77777777" w:rsidR="009113BF" w:rsidRDefault="009113BF" w:rsidP="001372E8">
      <w:pPr>
        <w:pStyle w:val="NoSpacing"/>
        <w:rPr>
          <w:color w:val="000000" w:themeColor="text1"/>
        </w:rPr>
      </w:pPr>
    </w:p>
    <w:p w14:paraId="3FEA8D67" w14:textId="5CB40984" w:rsidR="00024F22" w:rsidRDefault="00024F22" w:rsidP="001372E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The following are useful reference documents for permitting; </w:t>
      </w:r>
    </w:p>
    <w:p w14:paraId="227295E7" w14:textId="20ED807C" w:rsidR="00024F22" w:rsidRDefault="00024F22" w:rsidP="001372E8">
      <w:pPr>
        <w:pStyle w:val="NoSpacing"/>
        <w:rPr>
          <w:color w:val="000000" w:themeColor="text1"/>
        </w:rPr>
      </w:pPr>
    </w:p>
    <w:p w14:paraId="210ECD1A" w14:textId="2A1FCBE6" w:rsidR="00024F22" w:rsidRPr="00024F22" w:rsidRDefault="00024F22" w:rsidP="00024F22">
      <w:pPr>
        <w:pStyle w:val="NoSpacing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 xml:space="preserve">The Attestation Application (this will only be completed electronically via DocuSign). </w:t>
      </w:r>
    </w:p>
    <w:p w14:paraId="3CADFD2D" w14:textId="44923D95" w:rsidR="00024F22" w:rsidRDefault="00024F22" w:rsidP="00024F2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586B13">
        <w:rPr>
          <w:color w:val="000000" w:themeColor="text1"/>
        </w:rPr>
        <w:object w:dxaOrig="1520" w:dyaOrig="987" w14:anchorId="31AD61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pt;height:49.4pt" o:ole="">
            <v:imagedata r:id="rId18" o:title=""/>
          </v:shape>
          <o:OLEObject Type="Embed" ProgID="Acrobat.Document.2017" ShapeID="_x0000_i1025" DrawAspect="Icon" ObjectID="_1724733321" r:id="rId19"/>
        </w:object>
      </w:r>
    </w:p>
    <w:p w14:paraId="057E796B" w14:textId="77777777" w:rsidR="00024F22" w:rsidRDefault="00024F22" w:rsidP="00024F22">
      <w:pPr>
        <w:pStyle w:val="NoSpacing"/>
        <w:ind w:left="720"/>
        <w:rPr>
          <w:color w:val="000000" w:themeColor="text1"/>
        </w:rPr>
      </w:pPr>
    </w:p>
    <w:p w14:paraId="450614F6" w14:textId="6BF858A8" w:rsidR="00024F22" w:rsidRPr="00024F22" w:rsidRDefault="00024F22" w:rsidP="00024F22">
      <w:pPr>
        <w:pStyle w:val="NoSpacing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Pr="00024F22">
        <w:rPr>
          <w:color w:val="000000" w:themeColor="text1"/>
        </w:rPr>
        <w:t>BPA Substation Safety and Security Video</w:t>
      </w:r>
    </w:p>
    <w:p w14:paraId="721F88B0" w14:textId="316E1A38" w:rsidR="00024F22" w:rsidRDefault="004C5C29" w:rsidP="00024F22">
      <w:pPr>
        <w:pStyle w:val="NoSpacing"/>
        <w:ind w:left="720"/>
      </w:pPr>
      <w:hyperlink r:id="rId20" w:history="1">
        <w:r w:rsidR="00024F22">
          <w:rPr>
            <w:rStyle w:val="Hyperlink"/>
          </w:rPr>
          <w:t>BPA Substation Safety and Security Video - YouTube</w:t>
        </w:r>
      </w:hyperlink>
      <w:r w:rsidR="00024F22">
        <w:t xml:space="preserve"> </w:t>
      </w:r>
    </w:p>
    <w:p w14:paraId="7BBC124D" w14:textId="2C449AB2" w:rsidR="00024F22" w:rsidRDefault="00024F22" w:rsidP="00024F22">
      <w:pPr>
        <w:pStyle w:val="NoSpacing"/>
        <w:rPr>
          <w:color w:val="000000" w:themeColor="text1"/>
        </w:rPr>
      </w:pPr>
      <w:r>
        <w:t xml:space="preserve"> </w:t>
      </w:r>
    </w:p>
    <w:sectPr w:rsidR="00024F22" w:rsidSect="001D092B">
      <w:footerReference w:type="default" r:id="rId21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93F10" w14:textId="77777777" w:rsidR="00BA4022" w:rsidRDefault="00BA4022" w:rsidP="00BD2713">
      <w:pPr>
        <w:spacing w:after="0" w:line="240" w:lineRule="auto"/>
      </w:pPr>
      <w:r>
        <w:separator/>
      </w:r>
    </w:p>
  </w:endnote>
  <w:endnote w:type="continuationSeparator" w:id="0">
    <w:p w14:paraId="173D5161" w14:textId="77777777" w:rsidR="00BA4022" w:rsidRDefault="00BA4022" w:rsidP="00BD2713">
      <w:pPr>
        <w:spacing w:after="0" w:line="240" w:lineRule="auto"/>
      </w:pPr>
      <w:r>
        <w:continuationSeparator/>
      </w:r>
    </w:p>
  </w:endnote>
  <w:endnote w:type="continuationNotice" w:id="1">
    <w:p w14:paraId="76533032" w14:textId="77777777" w:rsidR="00BA4022" w:rsidRDefault="00BA40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7B9F4" w14:textId="77777777" w:rsidR="00BA4022" w:rsidRDefault="00BA4022">
    <w:pPr>
      <w:pStyle w:val="Footer"/>
    </w:pPr>
  </w:p>
  <w:p w14:paraId="0347B9F5" w14:textId="77777777" w:rsidR="00BA4022" w:rsidRDefault="00BA4022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347B9F6" wp14:editId="0347B9F7">
          <wp:simplePos x="0" y="0"/>
          <wp:positionH relativeFrom="column">
            <wp:posOffset>2540</wp:posOffset>
          </wp:positionH>
          <wp:positionV relativeFrom="paragraph">
            <wp:posOffset>-122845</wp:posOffset>
          </wp:positionV>
          <wp:extent cx="2626095" cy="591761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095" cy="591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8240" behindDoc="1" locked="0" layoutInCell="1" allowOverlap="1" wp14:anchorId="0347B9F8" wp14:editId="0347B9F9">
              <wp:simplePos x="0" y="0"/>
              <wp:positionH relativeFrom="column">
                <wp:posOffset>-48895</wp:posOffset>
              </wp:positionH>
              <wp:positionV relativeFrom="paragraph">
                <wp:posOffset>-213995</wp:posOffset>
              </wp:positionV>
              <wp:extent cx="6899910" cy="15621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9910" cy="156210"/>
                      </a:xfrm>
                      <a:prstGeom prst="rect">
                        <a:avLst/>
                      </a:prstGeom>
                      <a:solidFill>
                        <a:srgbClr val="BED6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0F1E9" id="Rectangle 4" o:spid="_x0000_s1026" style="position:absolute;margin-left:-3.85pt;margin-top:-16.85pt;width:543.3pt;height:12.3pt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" fillcolor="#bed600" stroked="f" strokecolor="black [0]" insetpen="t">
              <v:shadow color="#eeece1"/>
              <v:textbox inset="2.88pt,2.88pt,2.88pt,2.88p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0347B9FA" wp14:editId="0347B9FB">
          <wp:simplePos x="0" y="0"/>
          <wp:positionH relativeFrom="column">
            <wp:posOffset>5866765</wp:posOffset>
          </wp:positionH>
          <wp:positionV relativeFrom="paragraph">
            <wp:posOffset>-190500</wp:posOffset>
          </wp:positionV>
          <wp:extent cx="878681" cy="618945"/>
          <wp:effectExtent l="0" t="0" r="0" b="0"/>
          <wp:wrapNone/>
          <wp:docPr id="2" name="Picture 2" descr="https://internal.bud.bpa.gov/Agency/logo/BPA-Logo-2015-Color-N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ernal.bud.bpa.gov/Agency/logo/BPA-Logo-2015-Color-NO-Tex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681" cy="61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06335" w14:textId="77777777" w:rsidR="00BA4022" w:rsidRDefault="00BA4022" w:rsidP="00BD2713">
      <w:pPr>
        <w:spacing w:after="0" w:line="240" w:lineRule="auto"/>
      </w:pPr>
      <w:r>
        <w:separator/>
      </w:r>
    </w:p>
  </w:footnote>
  <w:footnote w:type="continuationSeparator" w:id="0">
    <w:p w14:paraId="384A9394" w14:textId="77777777" w:rsidR="00BA4022" w:rsidRDefault="00BA4022" w:rsidP="00BD2713">
      <w:pPr>
        <w:spacing w:after="0" w:line="240" w:lineRule="auto"/>
      </w:pPr>
      <w:r>
        <w:continuationSeparator/>
      </w:r>
    </w:p>
  </w:footnote>
  <w:footnote w:type="continuationNotice" w:id="1">
    <w:p w14:paraId="181E806E" w14:textId="77777777" w:rsidR="00BA4022" w:rsidRDefault="00BA40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A1E"/>
    <w:multiLevelType w:val="hybridMultilevel"/>
    <w:tmpl w:val="1FE019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74DB8"/>
    <w:multiLevelType w:val="hybridMultilevel"/>
    <w:tmpl w:val="8362A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D7D00"/>
    <w:multiLevelType w:val="hybridMultilevel"/>
    <w:tmpl w:val="1FE019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9845E8"/>
    <w:multiLevelType w:val="hybridMultilevel"/>
    <w:tmpl w:val="1D8866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21EE9"/>
    <w:multiLevelType w:val="hybridMultilevel"/>
    <w:tmpl w:val="066CA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1597A"/>
    <w:multiLevelType w:val="hybridMultilevel"/>
    <w:tmpl w:val="04047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71E3"/>
    <w:multiLevelType w:val="hybridMultilevel"/>
    <w:tmpl w:val="C3B8D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8C6795"/>
    <w:multiLevelType w:val="hybridMultilevel"/>
    <w:tmpl w:val="1670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20756"/>
    <w:multiLevelType w:val="hybridMultilevel"/>
    <w:tmpl w:val="D1D6A74E"/>
    <w:lvl w:ilvl="0" w:tplc="BE427CF8">
      <w:start w:val="1"/>
      <w:numFmt w:val="decimal"/>
      <w:lvlText w:val="%1."/>
      <w:lvlJc w:val="left"/>
      <w:pPr>
        <w:ind w:left="38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 w15:restartNumberingAfterBreak="0">
    <w:nsid w:val="290F5586"/>
    <w:multiLevelType w:val="hybridMultilevel"/>
    <w:tmpl w:val="E0048698"/>
    <w:lvl w:ilvl="0" w:tplc="259664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54F06"/>
    <w:multiLevelType w:val="hybridMultilevel"/>
    <w:tmpl w:val="5A0C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F2434"/>
    <w:multiLevelType w:val="hybridMultilevel"/>
    <w:tmpl w:val="249AAC9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006386"/>
    <w:multiLevelType w:val="hybridMultilevel"/>
    <w:tmpl w:val="14DCC4CC"/>
    <w:lvl w:ilvl="0" w:tplc="005280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203AD"/>
    <w:multiLevelType w:val="hybridMultilevel"/>
    <w:tmpl w:val="81A0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37BE"/>
    <w:multiLevelType w:val="hybridMultilevel"/>
    <w:tmpl w:val="4980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6441B"/>
    <w:multiLevelType w:val="hybridMultilevel"/>
    <w:tmpl w:val="04CA02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C6EAD"/>
    <w:multiLevelType w:val="hybridMultilevel"/>
    <w:tmpl w:val="854A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D10F5"/>
    <w:multiLevelType w:val="hybridMultilevel"/>
    <w:tmpl w:val="D1D6A74E"/>
    <w:lvl w:ilvl="0" w:tplc="BE427CF8">
      <w:start w:val="1"/>
      <w:numFmt w:val="decimal"/>
      <w:lvlText w:val="%1."/>
      <w:lvlJc w:val="left"/>
      <w:pPr>
        <w:ind w:left="38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8" w15:restartNumberingAfterBreak="0">
    <w:nsid w:val="5D0669F8"/>
    <w:multiLevelType w:val="hybridMultilevel"/>
    <w:tmpl w:val="3454E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CF6A45"/>
    <w:multiLevelType w:val="hybridMultilevel"/>
    <w:tmpl w:val="24620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85CA8"/>
    <w:multiLevelType w:val="hybridMultilevel"/>
    <w:tmpl w:val="C6F8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7222E"/>
    <w:multiLevelType w:val="hybridMultilevel"/>
    <w:tmpl w:val="0D9C768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DB4FAB"/>
    <w:multiLevelType w:val="hybridMultilevel"/>
    <w:tmpl w:val="35B6F82A"/>
    <w:lvl w:ilvl="0" w:tplc="348EAFF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A05C9"/>
    <w:multiLevelType w:val="hybridMultilevel"/>
    <w:tmpl w:val="C78E148C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4" w15:restartNumberingAfterBreak="0">
    <w:nsid w:val="73BD75B2"/>
    <w:multiLevelType w:val="hybridMultilevel"/>
    <w:tmpl w:val="C3144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2"/>
  </w:num>
  <w:num w:numId="4">
    <w:abstractNumId w:val="10"/>
  </w:num>
  <w:num w:numId="5">
    <w:abstractNumId w:val="20"/>
  </w:num>
  <w:num w:numId="6">
    <w:abstractNumId w:val="4"/>
  </w:num>
  <w:num w:numId="7">
    <w:abstractNumId w:val="23"/>
  </w:num>
  <w:num w:numId="8">
    <w:abstractNumId w:val="13"/>
  </w:num>
  <w:num w:numId="9">
    <w:abstractNumId w:val="0"/>
  </w:num>
  <w:num w:numId="10">
    <w:abstractNumId w:val="15"/>
  </w:num>
  <w:num w:numId="11">
    <w:abstractNumId w:val="3"/>
  </w:num>
  <w:num w:numId="12">
    <w:abstractNumId w:val="7"/>
  </w:num>
  <w:num w:numId="13">
    <w:abstractNumId w:val="2"/>
  </w:num>
  <w:num w:numId="14">
    <w:abstractNumId w:val="11"/>
  </w:num>
  <w:num w:numId="15">
    <w:abstractNumId w:val="21"/>
  </w:num>
  <w:num w:numId="16">
    <w:abstractNumId w:val="6"/>
  </w:num>
  <w:num w:numId="17">
    <w:abstractNumId w:val="14"/>
  </w:num>
  <w:num w:numId="18">
    <w:abstractNumId w:val="9"/>
  </w:num>
  <w:num w:numId="19">
    <w:abstractNumId w:val="8"/>
  </w:num>
  <w:num w:numId="20">
    <w:abstractNumId w:val="17"/>
  </w:num>
  <w:num w:numId="21">
    <w:abstractNumId w:val="16"/>
  </w:num>
  <w:num w:numId="22">
    <w:abstractNumId w:val="19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59"/>
    <w:rsid w:val="000078A0"/>
    <w:rsid w:val="0001123E"/>
    <w:rsid w:val="0001348A"/>
    <w:rsid w:val="0001767A"/>
    <w:rsid w:val="00020D3C"/>
    <w:rsid w:val="0002113A"/>
    <w:rsid w:val="00024AC4"/>
    <w:rsid w:val="00024F22"/>
    <w:rsid w:val="00026967"/>
    <w:rsid w:val="000273DD"/>
    <w:rsid w:val="00032C2F"/>
    <w:rsid w:val="00035467"/>
    <w:rsid w:val="000531C5"/>
    <w:rsid w:val="00054CDA"/>
    <w:rsid w:val="000563B4"/>
    <w:rsid w:val="00056C81"/>
    <w:rsid w:val="0006189C"/>
    <w:rsid w:val="00061A4C"/>
    <w:rsid w:val="00077419"/>
    <w:rsid w:val="00080FBF"/>
    <w:rsid w:val="000825F6"/>
    <w:rsid w:val="000917B4"/>
    <w:rsid w:val="00092877"/>
    <w:rsid w:val="00093ECE"/>
    <w:rsid w:val="000949E0"/>
    <w:rsid w:val="00095772"/>
    <w:rsid w:val="000A267F"/>
    <w:rsid w:val="000A34E1"/>
    <w:rsid w:val="000A7467"/>
    <w:rsid w:val="000A7F34"/>
    <w:rsid w:val="000B2E4E"/>
    <w:rsid w:val="000B518D"/>
    <w:rsid w:val="000B6EB9"/>
    <w:rsid w:val="000C126C"/>
    <w:rsid w:val="000C62BB"/>
    <w:rsid w:val="000D3591"/>
    <w:rsid w:val="000E000D"/>
    <w:rsid w:val="000E6695"/>
    <w:rsid w:val="000F1E82"/>
    <w:rsid w:val="000F5893"/>
    <w:rsid w:val="00102496"/>
    <w:rsid w:val="00103D8F"/>
    <w:rsid w:val="00117633"/>
    <w:rsid w:val="00117DA6"/>
    <w:rsid w:val="00121D34"/>
    <w:rsid w:val="00121E2C"/>
    <w:rsid w:val="00124E56"/>
    <w:rsid w:val="00125F85"/>
    <w:rsid w:val="00132331"/>
    <w:rsid w:val="0013275D"/>
    <w:rsid w:val="00135866"/>
    <w:rsid w:val="001372E8"/>
    <w:rsid w:val="0014168F"/>
    <w:rsid w:val="0014617B"/>
    <w:rsid w:val="0014641E"/>
    <w:rsid w:val="001477BD"/>
    <w:rsid w:val="00153914"/>
    <w:rsid w:val="00155E13"/>
    <w:rsid w:val="0015785A"/>
    <w:rsid w:val="001609AE"/>
    <w:rsid w:val="0016115E"/>
    <w:rsid w:val="00161581"/>
    <w:rsid w:val="00166D16"/>
    <w:rsid w:val="0016790E"/>
    <w:rsid w:val="00173647"/>
    <w:rsid w:val="00176849"/>
    <w:rsid w:val="00176B5E"/>
    <w:rsid w:val="00180C90"/>
    <w:rsid w:val="00184119"/>
    <w:rsid w:val="00184786"/>
    <w:rsid w:val="00187EE2"/>
    <w:rsid w:val="00195D1D"/>
    <w:rsid w:val="001A1F2D"/>
    <w:rsid w:val="001A352F"/>
    <w:rsid w:val="001C6AC6"/>
    <w:rsid w:val="001D05DF"/>
    <w:rsid w:val="001D092B"/>
    <w:rsid w:val="001D2073"/>
    <w:rsid w:val="001E337F"/>
    <w:rsid w:val="001E501D"/>
    <w:rsid w:val="001E6017"/>
    <w:rsid w:val="001E6146"/>
    <w:rsid w:val="001F0D59"/>
    <w:rsid w:val="001F4552"/>
    <w:rsid w:val="001F57B0"/>
    <w:rsid w:val="001F72CC"/>
    <w:rsid w:val="00201891"/>
    <w:rsid w:val="0020706D"/>
    <w:rsid w:val="00212CED"/>
    <w:rsid w:val="00213EDF"/>
    <w:rsid w:val="00217646"/>
    <w:rsid w:val="002223F4"/>
    <w:rsid w:val="002339CE"/>
    <w:rsid w:val="002361E1"/>
    <w:rsid w:val="00245636"/>
    <w:rsid w:val="002532D6"/>
    <w:rsid w:val="00254035"/>
    <w:rsid w:val="00257618"/>
    <w:rsid w:val="002669A3"/>
    <w:rsid w:val="00276090"/>
    <w:rsid w:val="0028260D"/>
    <w:rsid w:val="00291704"/>
    <w:rsid w:val="002933C5"/>
    <w:rsid w:val="002976C9"/>
    <w:rsid w:val="002A4839"/>
    <w:rsid w:val="002B37F9"/>
    <w:rsid w:val="002C168A"/>
    <w:rsid w:val="002C22C1"/>
    <w:rsid w:val="002D5294"/>
    <w:rsid w:val="002D6441"/>
    <w:rsid w:val="002F189C"/>
    <w:rsid w:val="002F2089"/>
    <w:rsid w:val="002F6031"/>
    <w:rsid w:val="00303886"/>
    <w:rsid w:val="0031018B"/>
    <w:rsid w:val="00311915"/>
    <w:rsid w:val="00312D4F"/>
    <w:rsid w:val="00317C74"/>
    <w:rsid w:val="0033218E"/>
    <w:rsid w:val="003339EE"/>
    <w:rsid w:val="00334505"/>
    <w:rsid w:val="0034056C"/>
    <w:rsid w:val="00352EF8"/>
    <w:rsid w:val="00354B24"/>
    <w:rsid w:val="003554E2"/>
    <w:rsid w:val="00360B21"/>
    <w:rsid w:val="00363740"/>
    <w:rsid w:val="0037795A"/>
    <w:rsid w:val="003800DE"/>
    <w:rsid w:val="00391FE7"/>
    <w:rsid w:val="003941B6"/>
    <w:rsid w:val="00394B42"/>
    <w:rsid w:val="003A100A"/>
    <w:rsid w:val="003B4887"/>
    <w:rsid w:val="003C04A4"/>
    <w:rsid w:val="003C17E1"/>
    <w:rsid w:val="003C30BD"/>
    <w:rsid w:val="003C6F39"/>
    <w:rsid w:val="003D0CBB"/>
    <w:rsid w:val="003E0B98"/>
    <w:rsid w:val="003E2A93"/>
    <w:rsid w:val="003F4637"/>
    <w:rsid w:val="004008CF"/>
    <w:rsid w:val="0040265D"/>
    <w:rsid w:val="00412635"/>
    <w:rsid w:val="004217A4"/>
    <w:rsid w:val="004234DA"/>
    <w:rsid w:val="00433434"/>
    <w:rsid w:val="00433839"/>
    <w:rsid w:val="004408BF"/>
    <w:rsid w:val="00441618"/>
    <w:rsid w:val="00443314"/>
    <w:rsid w:val="00446572"/>
    <w:rsid w:val="00451E37"/>
    <w:rsid w:val="00461189"/>
    <w:rsid w:val="00470DB4"/>
    <w:rsid w:val="004724C3"/>
    <w:rsid w:val="004735A9"/>
    <w:rsid w:val="004746DA"/>
    <w:rsid w:val="00487763"/>
    <w:rsid w:val="00490746"/>
    <w:rsid w:val="004949FA"/>
    <w:rsid w:val="004A205A"/>
    <w:rsid w:val="004A3384"/>
    <w:rsid w:val="004A4BD0"/>
    <w:rsid w:val="004B3979"/>
    <w:rsid w:val="004C5828"/>
    <w:rsid w:val="004C5C29"/>
    <w:rsid w:val="004D48EB"/>
    <w:rsid w:val="004E0895"/>
    <w:rsid w:val="004F096A"/>
    <w:rsid w:val="004F10BC"/>
    <w:rsid w:val="004F35E8"/>
    <w:rsid w:val="004F4564"/>
    <w:rsid w:val="004F46A3"/>
    <w:rsid w:val="004F4B7C"/>
    <w:rsid w:val="005025F6"/>
    <w:rsid w:val="00504EB5"/>
    <w:rsid w:val="0052003C"/>
    <w:rsid w:val="00530AA2"/>
    <w:rsid w:val="0053381D"/>
    <w:rsid w:val="00537B67"/>
    <w:rsid w:val="005462E3"/>
    <w:rsid w:val="00553F97"/>
    <w:rsid w:val="005555D9"/>
    <w:rsid w:val="00560586"/>
    <w:rsid w:val="00564490"/>
    <w:rsid w:val="00572624"/>
    <w:rsid w:val="00577C0F"/>
    <w:rsid w:val="00582B70"/>
    <w:rsid w:val="0058661B"/>
    <w:rsid w:val="00586B13"/>
    <w:rsid w:val="00587E9B"/>
    <w:rsid w:val="0059155D"/>
    <w:rsid w:val="00592D2D"/>
    <w:rsid w:val="00593C0A"/>
    <w:rsid w:val="00595162"/>
    <w:rsid w:val="005A30D8"/>
    <w:rsid w:val="005B73FF"/>
    <w:rsid w:val="005D0DBA"/>
    <w:rsid w:val="005D165F"/>
    <w:rsid w:val="005D535E"/>
    <w:rsid w:val="005D5E2D"/>
    <w:rsid w:val="005F178D"/>
    <w:rsid w:val="005F4489"/>
    <w:rsid w:val="006016DB"/>
    <w:rsid w:val="00604865"/>
    <w:rsid w:val="006110B8"/>
    <w:rsid w:val="006113F4"/>
    <w:rsid w:val="006151D7"/>
    <w:rsid w:val="00622C84"/>
    <w:rsid w:val="00623FA6"/>
    <w:rsid w:val="006325F6"/>
    <w:rsid w:val="00634BDD"/>
    <w:rsid w:val="0063515B"/>
    <w:rsid w:val="006579C4"/>
    <w:rsid w:val="006603FD"/>
    <w:rsid w:val="00665E96"/>
    <w:rsid w:val="00672DAE"/>
    <w:rsid w:val="00674987"/>
    <w:rsid w:val="00690D65"/>
    <w:rsid w:val="006A67B5"/>
    <w:rsid w:val="006A7004"/>
    <w:rsid w:val="006B3CF9"/>
    <w:rsid w:val="006D5A24"/>
    <w:rsid w:val="006D7874"/>
    <w:rsid w:val="006E433A"/>
    <w:rsid w:val="006E6135"/>
    <w:rsid w:val="006F096B"/>
    <w:rsid w:val="006F3B3C"/>
    <w:rsid w:val="006F6281"/>
    <w:rsid w:val="006F679A"/>
    <w:rsid w:val="007022D0"/>
    <w:rsid w:val="007046EA"/>
    <w:rsid w:val="0070689E"/>
    <w:rsid w:val="00720E19"/>
    <w:rsid w:val="0072237B"/>
    <w:rsid w:val="00725CC5"/>
    <w:rsid w:val="00725CF0"/>
    <w:rsid w:val="00734168"/>
    <w:rsid w:val="0075111D"/>
    <w:rsid w:val="007534F5"/>
    <w:rsid w:val="007561D7"/>
    <w:rsid w:val="00756760"/>
    <w:rsid w:val="00761430"/>
    <w:rsid w:val="00771BF1"/>
    <w:rsid w:val="007768CF"/>
    <w:rsid w:val="007774F0"/>
    <w:rsid w:val="007826A1"/>
    <w:rsid w:val="00794173"/>
    <w:rsid w:val="007A43B8"/>
    <w:rsid w:val="007B61CE"/>
    <w:rsid w:val="007C1961"/>
    <w:rsid w:val="007D41CB"/>
    <w:rsid w:val="007E233D"/>
    <w:rsid w:val="007F0E7A"/>
    <w:rsid w:val="007F0F4A"/>
    <w:rsid w:val="007F20EC"/>
    <w:rsid w:val="007F29A7"/>
    <w:rsid w:val="007F62F0"/>
    <w:rsid w:val="008051C4"/>
    <w:rsid w:val="00812F3D"/>
    <w:rsid w:val="00813961"/>
    <w:rsid w:val="00816ACC"/>
    <w:rsid w:val="00834754"/>
    <w:rsid w:val="008350B0"/>
    <w:rsid w:val="008476A8"/>
    <w:rsid w:val="008513D3"/>
    <w:rsid w:val="00860F75"/>
    <w:rsid w:val="00862ADB"/>
    <w:rsid w:val="00863ED0"/>
    <w:rsid w:val="00865B6F"/>
    <w:rsid w:val="00866559"/>
    <w:rsid w:val="008672D7"/>
    <w:rsid w:val="0087158A"/>
    <w:rsid w:val="008731B3"/>
    <w:rsid w:val="0089000C"/>
    <w:rsid w:val="008A3CFB"/>
    <w:rsid w:val="008B522D"/>
    <w:rsid w:val="008C3C15"/>
    <w:rsid w:val="008D062A"/>
    <w:rsid w:val="008D0B32"/>
    <w:rsid w:val="008D33F2"/>
    <w:rsid w:val="008E3372"/>
    <w:rsid w:val="008E3B41"/>
    <w:rsid w:val="00900795"/>
    <w:rsid w:val="0090415E"/>
    <w:rsid w:val="009054FF"/>
    <w:rsid w:val="009113BF"/>
    <w:rsid w:val="00917A06"/>
    <w:rsid w:val="00931988"/>
    <w:rsid w:val="00935D8F"/>
    <w:rsid w:val="0093787F"/>
    <w:rsid w:val="00940958"/>
    <w:rsid w:val="009432DE"/>
    <w:rsid w:val="00944BF9"/>
    <w:rsid w:val="00945488"/>
    <w:rsid w:val="00955793"/>
    <w:rsid w:val="0096214E"/>
    <w:rsid w:val="00964CD3"/>
    <w:rsid w:val="00971A49"/>
    <w:rsid w:val="0098199C"/>
    <w:rsid w:val="009842D4"/>
    <w:rsid w:val="00987B4D"/>
    <w:rsid w:val="009915BB"/>
    <w:rsid w:val="009940FA"/>
    <w:rsid w:val="009A3D67"/>
    <w:rsid w:val="009B1B48"/>
    <w:rsid w:val="009C361D"/>
    <w:rsid w:val="009C45A0"/>
    <w:rsid w:val="009C48CB"/>
    <w:rsid w:val="009C56DE"/>
    <w:rsid w:val="009D0450"/>
    <w:rsid w:val="009D172A"/>
    <w:rsid w:val="009D257B"/>
    <w:rsid w:val="009E2F7B"/>
    <w:rsid w:val="009E3B9D"/>
    <w:rsid w:val="009E77D9"/>
    <w:rsid w:val="009F2127"/>
    <w:rsid w:val="009F56DB"/>
    <w:rsid w:val="00A00984"/>
    <w:rsid w:val="00A047FD"/>
    <w:rsid w:val="00A05506"/>
    <w:rsid w:val="00A17829"/>
    <w:rsid w:val="00A20374"/>
    <w:rsid w:val="00A20B0B"/>
    <w:rsid w:val="00A2348C"/>
    <w:rsid w:val="00A23639"/>
    <w:rsid w:val="00A266E3"/>
    <w:rsid w:val="00A31548"/>
    <w:rsid w:val="00A32FB4"/>
    <w:rsid w:val="00A34B00"/>
    <w:rsid w:val="00A545C0"/>
    <w:rsid w:val="00A6227B"/>
    <w:rsid w:val="00A62E87"/>
    <w:rsid w:val="00A63263"/>
    <w:rsid w:val="00A639D0"/>
    <w:rsid w:val="00A7474E"/>
    <w:rsid w:val="00A8082B"/>
    <w:rsid w:val="00A81399"/>
    <w:rsid w:val="00A8530E"/>
    <w:rsid w:val="00A863D1"/>
    <w:rsid w:val="00A8643D"/>
    <w:rsid w:val="00A865F7"/>
    <w:rsid w:val="00A95642"/>
    <w:rsid w:val="00A96415"/>
    <w:rsid w:val="00AC0B94"/>
    <w:rsid w:val="00AC1097"/>
    <w:rsid w:val="00AC1141"/>
    <w:rsid w:val="00AC1E9A"/>
    <w:rsid w:val="00AC218E"/>
    <w:rsid w:val="00AD0E69"/>
    <w:rsid w:val="00AD163A"/>
    <w:rsid w:val="00AD6B95"/>
    <w:rsid w:val="00AE301A"/>
    <w:rsid w:val="00AE5FF0"/>
    <w:rsid w:val="00AF0521"/>
    <w:rsid w:val="00AF065D"/>
    <w:rsid w:val="00AF4A65"/>
    <w:rsid w:val="00AF7089"/>
    <w:rsid w:val="00B04FDC"/>
    <w:rsid w:val="00B2503F"/>
    <w:rsid w:val="00B356BC"/>
    <w:rsid w:val="00B450A8"/>
    <w:rsid w:val="00B53899"/>
    <w:rsid w:val="00B56663"/>
    <w:rsid w:val="00B67027"/>
    <w:rsid w:val="00B714AE"/>
    <w:rsid w:val="00B727BE"/>
    <w:rsid w:val="00B814E2"/>
    <w:rsid w:val="00B8278B"/>
    <w:rsid w:val="00B82C2C"/>
    <w:rsid w:val="00B834F8"/>
    <w:rsid w:val="00B842FD"/>
    <w:rsid w:val="00B859F3"/>
    <w:rsid w:val="00B87D53"/>
    <w:rsid w:val="00B92BCE"/>
    <w:rsid w:val="00B967D3"/>
    <w:rsid w:val="00BA17C1"/>
    <w:rsid w:val="00BA4022"/>
    <w:rsid w:val="00BA6757"/>
    <w:rsid w:val="00BB5669"/>
    <w:rsid w:val="00BB5BBA"/>
    <w:rsid w:val="00BC063B"/>
    <w:rsid w:val="00BC2902"/>
    <w:rsid w:val="00BD2713"/>
    <w:rsid w:val="00BE6F8B"/>
    <w:rsid w:val="00BF0975"/>
    <w:rsid w:val="00BF0F46"/>
    <w:rsid w:val="00BF1B9A"/>
    <w:rsid w:val="00BF221B"/>
    <w:rsid w:val="00C02EEB"/>
    <w:rsid w:val="00C06AFE"/>
    <w:rsid w:val="00C0794D"/>
    <w:rsid w:val="00C126E2"/>
    <w:rsid w:val="00C21BEF"/>
    <w:rsid w:val="00C220B1"/>
    <w:rsid w:val="00C33A2D"/>
    <w:rsid w:val="00C35E88"/>
    <w:rsid w:val="00C472C2"/>
    <w:rsid w:val="00C50625"/>
    <w:rsid w:val="00C51F77"/>
    <w:rsid w:val="00C52507"/>
    <w:rsid w:val="00C5580D"/>
    <w:rsid w:val="00C669F2"/>
    <w:rsid w:val="00C71816"/>
    <w:rsid w:val="00C72300"/>
    <w:rsid w:val="00C74072"/>
    <w:rsid w:val="00C74DE6"/>
    <w:rsid w:val="00C76996"/>
    <w:rsid w:val="00C801E6"/>
    <w:rsid w:val="00C83E07"/>
    <w:rsid w:val="00C86C6C"/>
    <w:rsid w:val="00C94383"/>
    <w:rsid w:val="00CA2ED9"/>
    <w:rsid w:val="00CA4B81"/>
    <w:rsid w:val="00CB353A"/>
    <w:rsid w:val="00CB516C"/>
    <w:rsid w:val="00CB7A72"/>
    <w:rsid w:val="00CC033D"/>
    <w:rsid w:val="00CC4481"/>
    <w:rsid w:val="00CC4ED5"/>
    <w:rsid w:val="00CD3D3D"/>
    <w:rsid w:val="00CD6A07"/>
    <w:rsid w:val="00CF1F21"/>
    <w:rsid w:val="00D101E5"/>
    <w:rsid w:val="00D2054E"/>
    <w:rsid w:val="00D20FC9"/>
    <w:rsid w:val="00D23A62"/>
    <w:rsid w:val="00D26285"/>
    <w:rsid w:val="00D27388"/>
    <w:rsid w:val="00D36D2B"/>
    <w:rsid w:val="00D40646"/>
    <w:rsid w:val="00D44783"/>
    <w:rsid w:val="00D551E6"/>
    <w:rsid w:val="00D60009"/>
    <w:rsid w:val="00D60B10"/>
    <w:rsid w:val="00D676DA"/>
    <w:rsid w:val="00D75C8C"/>
    <w:rsid w:val="00D77CFC"/>
    <w:rsid w:val="00D80CFE"/>
    <w:rsid w:val="00D90BA8"/>
    <w:rsid w:val="00D91D96"/>
    <w:rsid w:val="00D969D7"/>
    <w:rsid w:val="00DA1EBD"/>
    <w:rsid w:val="00DA6EA1"/>
    <w:rsid w:val="00DE08D9"/>
    <w:rsid w:val="00DE681B"/>
    <w:rsid w:val="00DF240E"/>
    <w:rsid w:val="00E03621"/>
    <w:rsid w:val="00E151C7"/>
    <w:rsid w:val="00E15DD2"/>
    <w:rsid w:val="00E217CD"/>
    <w:rsid w:val="00E222B8"/>
    <w:rsid w:val="00E317B9"/>
    <w:rsid w:val="00E3410B"/>
    <w:rsid w:val="00E35F88"/>
    <w:rsid w:val="00E36475"/>
    <w:rsid w:val="00E3652D"/>
    <w:rsid w:val="00E36866"/>
    <w:rsid w:val="00E36A13"/>
    <w:rsid w:val="00E43CCF"/>
    <w:rsid w:val="00E556EA"/>
    <w:rsid w:val="00E61039"/>
    <w:rsid w:val="00E65441"/>
    <w:rsid w:val="00E65CDB"/>
    <w:rsid w:val="00E66525"/>
    <w:rsid w:val="00E66D12"/>
    <w:rsid w:val="00E72C29"/>
    <w:rsid w:val="00E74C87"/>
    <w:rsid w:val="00E8288A"/>
    <w:rsid w:val="00E94CD0"/>
    <w:rsid w:val="00EA7430"/>
    <w:rsid w:val="00EB422D"/>
    <w:rsid w:val="00EB574C"/>
    <w:rsid w:val="00EC2E33"/>
    <w:rsid w:val="00EC36C7"/>
    <w:rsid w:val="00ED2351"/>
    <w:rsid w:val="00ED2C16"/>
    <w:rsid w:val="00ED2C7A"/>
    <w:rsid w:val="00ED455C"/>
    <w:rsid w:val="00ED72BA"/>
    <w:rsid w:val="00EE5098"/>
    <w:rsid w:val="00EE5500"/>
    <w:rsid w:val="00EF4C1A"/>
    <w:rsid w:val="00F01180"/>
    <w:rsid w:val="00F1174D"/>
    <w:rsid w:val="00F11D9C"/>
    <w:rsid w:val="00F160BA"/>
    <w:rsid w:val="00F22CA1"/>
    <w:rsid w:val="00F25601"/>
    <w:rsid w:val="00F33435"/>
    <w:rsid w:val="00F42712"/>
    <w:rsid w:val="00F45F50"/>
    <w:rsid w:val="00F5516A"/>
    <w:rsid w:val="00F56DA6"/>
    <w:rsid w:val="00F56E8F"/>
    <w:rsid w:val="00F61D2C"/>
    <w:rsid w:val="00F65429"/>
    <w:rsid w:val="00F66CB8"/>
    <w:rsid w:val="00F70467"/>
    <w:rsid w:val="00F7198E"/>
    <w:rsid w:val="00F749A7"/>
    <w:rsid w:val="00F765EF"/>
    <w:rsid w:val="00F76A4A"/>
    <w:rsid w:val="00F81632"/>
    <w:rsid w:val="00F942E1"/>
    <w:rsid w:val="00F94510"/>
    <w:rsid w:val="00FA2108"/>
    <w:rsid w:val="00FB16BF"/>
    <w:rsid w:val="00FB74A4"/>
    <w:rsid w:val="00FC1FED"/>
    <w:rsid w:val="00FC23F8"/>
    <w:rsid w:val="00FC45A4"/>
    <w:rsid w:val="00FC612F"/>
    <w:rsid w:val="00FD6CF8"/>
    <w:rsid w:val="00FD7460"/>
    <w:rsid w:val="00FD7713"/>
    <w:rsid w:val="00FE3B7D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0347B9B8"/>
  <w15:docId w15:val="{0E0CB62B-CB59-4F00-B56F-9331A410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E7"/>
  </w:style>
  <w:style w:type="paragraph" w:styleId="Heading1">
    <w:name w:val="heading 1"/>
    <w:basedOn w:val="Normal"/>
    <w:link w:val="Heading1Char"/>
    <w:uiPriority w:val="9"/>
    <w:qFormat/>
    <w:rsid w:val="00024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ofText">
    <w:name w:val="Body of Text"/>
    <w:basedOn w:val="Normal"/>
    <w:next w:val="Normal"/>
    <w:rsid w:val="001F0D59"/>
    <w:pPr>
      <w:tabs>
        <w:tab w:val="left" w:pos="360"/>
        <w:tab w:val="left" w:pos="720"/>
        <w:tab w:val="left" w:pos="1080"/>
        <w:tab w:val="left" w:pos="1440"/>
        <w:tab w:val="left" w:pos="180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1F0D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5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4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5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5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5A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B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1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713"/>
  </w:style>
  <w:style w:type="paragraph" w:styleId="Footer">
    <w:name w:val="footer"/>
    <w:basedOn w:val="Normal"/>
    <w:link w:val="FooterChar"/>
    <w:uiPriority w:val="99"/>
    <w:unhideWhenUsed/>
    <w:rsid w:val="00BD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713"/>
  </w:style>
  <w:style w:type="character" w:styleId="Hyperlink">
    <w:name w:val="Hyperlink"/>
    <w:basedOn w:val="DefaultParagraphFont"/>
    <w:uiPriority w:val="99"/>
    <w:unhideWhenUsed/>
    <w:rsid w:val="00E151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2CED"/>
    <w:rPr>
      <w:color w:val="800080" w:themeColor="followedHyperlink"/>
      <w:u w:val="single"/>
    </w:rPr>
  </w:style>
  <w:style w:type="paragraph" w:customStyle="1" w:styleId="Default">
    <w:name w:val="Default"/>
    <w:rsid w:val="001A35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4F2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pa.gov/-/media/Aep/customers-and-contractors/safety/cshrps-2023-v23-18-11-2022.pdf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bpa.gov/-/media/Aep/customers-and-contractors/2021-roch.pdf" TargetMode="External"/><Relationship Id="rId17" Type="http://schemas.openxmlformats.org/officeDocument/2006/relationships/hyperlink" Target="mailto:subops@bp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pa.gov/-/media/Aep/customers-and-contractors/f-1901-sow-wkr-onboarding.pdf" TargetMode="External"/><Relationship Id="rId20" Type="http://schemas.openxmlformats.org/officeDocument/2006/relationships/hyperlink" Target="https://www.youtube.com/watch?v=jZ5eFWc_Se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bpa.gov/-/media/Aep/customers-and-contractors/safety/contractors-guide-to-onboarding-and-permitting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pa.gov/-/media/Aep/customers-and-contractors/bpi/bpi-22-1-parts-1-35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b7f14fa-b0d2-48b2-8b3e-0a51274e5e8b" xsi:nil="true"/>
    <Rev_x0020_Date xmlns="db7f14fa-b0d2-48b2-8b3e-0a51274e5e8b" xsi:nil="true"/>
    <Effort_x0020_Number xmlns="db7f14fa-b0d2-48b2-8b3e-0a51274e5e8b" xsi:nil="true"/>
    <Document_x0020_Owner xmlns="db7f14fa-b0d2-48b2-8b3e-0a51274e5e8b">
      <UserInfo>
        <DisplayName/>
        <AccountId xsi:nil="true"/>
        <AccountType/>
      </UserInfo>
    </Document_x0020_Owner>
    <Rev_x0023_ xmlns="db7f14fa-b0d2-48b2-8b3e-0a51274e5e8b" xsi:nil="true"/>
    <Status xmlns="db7f14fa-b0d2-48b2-8b3e-0a51274e5e8b">Draft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540FAFA2ADD4986CB19B37CE07683" ma:contentTypeVersion="6" ma:contentTypeDescription="Create a new document." ma:contentTypeScope="" ma:versionID="935947ee4ace0c7b2c7aa2fbd08d245f">
  <xsd:schema xmlns:xsd="http://www.w3.org/2001/XMLSchema" xmlns:xs="http://www.w3.org/2001/XMLSchema" xmlns:p="http://schemas.microsoft.com/office/2006/metadata/properties" xmlns:ns2="db7f14fa-b0d2-48b2-8b3e-0a51274e5e8b" targetNamespace="http://schemas.microsoft.com/office/2006/metadata/properties" ma:root="true" ma:fieldsID="e6557038ab34a656cf828ac8604d11e7" ns2:_="">
    <xsd:import namespace="db7f14fa-b0d2-48b2-8b3e-0a51274e5e8b"/>
    <xsd:element name="properties">
      <xsd:complexType>
        <xsd:sequence>
          <xsd:element name="documentManagement">
            <xsd:complexType>
              <xsd:all>
                <xsd:element ref="ns2:Rev_x0023_" minOccurs="0"/>
                <xsd:element ref="ns2:Rev_x0020_Date" minOccurs="0"/>
                <xsd:element ref="ns2:Category" minOccurs="0"/>
                <xsd:element ref="ns2:Status" minOccurs="0"/>
                <xsd:element ref="ns2:Document_x0020_Owner" minOccurs="0"/>
                <xsd:element ref="ns2:Effor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f14fa-b0d2-48b2-8b3e-0a51274e5e8b" elementFormDefault="qualified">
    <xsd:import namespace="http://schemas.microsoft.com/office/2006/documentManagement/types"/>
    <xsd:import namespace="http://schemas.microsoft.com/office/infopath/2007/PartnerControls"/>
    <xsd:element name="Rev_x0023_" ma:index="8" nillable="true" ma:displayName="Rev#" ma:internalName="Rev_x0023_">
      <xsd:simpleType>
        <xsd:restriction base="dms:Number"/>
      </xsd:simpleType>
    </xsd:element>
    <xsd:element name="Rev_x0020_Date" ma:index="9" nillable="true" ma:displayName="Rev Date" ma:format="DateOnly" ma:internalName="Rev_x0020_Date">
      <xsd:simpleType>
        <xsd:restriction base="dms:DateTime"/>
      </xsd:simpleType>
    </xsd:element>
    <xsd:element name="Category" ma:index="10" nillable="true" ma:displayName="Category" ma:format="Dropdown" ma:internalName="Category">
      <xsd:simpleType>
        <xsd:union memberTypes="dms:Text">
          <xsd:simpleType>
            <xsd:restriction base="dms:Choice">
              <xsd:enumeration value="Enter Choice #1"/>
              <xsd:enumeration value="Enter Choice #2"/>
              <xsd:enumeration value="Enter Choice #3"/>
            </xsd:restriction>
          </xsd:simpleType>
        </xsd:union>
      </xsd:simpleType>
    </xsd:element>
    <xsd:element name="Status" ma:index="11" nillable="true" ma:displayName="Status" ma:default="Draft" ma:format="Dropdown" ma:internalName="Status">
      <xsd:simpleType>
        <xsd:union memberTypes="dms:Text">
          <xsd:simpleType>
            <xsd:restriction base="dms:Choice">
              <xsd:enumeration value="Draft"/>
              <xsd:enumeration value="Publish"/>
              <xsd:enumeration value="Archive"/>
            </xsd:restriction>
          </xsd:simpleType>
        </xsd:union>
      </xsd:simpleType>
    </xsd:element>
    <xsd:element name="Document_x0020_Owner" ma:index="12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ffort_x0020_Number" ma:index="13" nillable="true" ma:displayName="Effort ID" ma:description="E0##" ma:indexed="true" ma:internalName="Effort_x0020_Number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9FF4-ACC7-402A-B7F4-197664ECE1E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db7f14fa-b0d2-48b2-8b3e-0a51274e5e8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6ED80B-6910-48ED-8BDC-1524C3F01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AEDDD-E51C-4A0B-AAEA-B71F43AD8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f14fa-b0d2-48b2-8b3e-0a51274e5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1A28F8-40CC-422F-8C84-18C286DE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Bundle Attributes Fact Sheet</vt:lpstr>
    </vt:vector>
  </TitlesOfParts>
  <Company>Bonneville Power Administration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Bundle Attributes Fact Sheet</dc:title>
  <dc:creator>BPA User;sjstarke@bpa.gov</dc:creator>
  <cp:keywords>AMPD</cp:keywords>
  <dc:description>Attach this file in the email</dc:description>
  <cp:lastModifiedBy>Connors,Alan W (BPA) - NFC-MODW</cp:lastModifiedBy>
  <cp:revision>9</cp:revision>
  <cp:lastPrinted>2017-01-17T21:22:00Z</cp:lastPrinted>
  <dcterms:created xsi:type="dcterms:W3CDTF">2022-09-12T22:20:00Z</dcterms:created>
  <dcterms:modified xsi:type="dcterms:W3CDTF">2022-09-15T14:49:00Z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0x010100797540FAFA2ADD4986CB19B37CE07683</vt:lpwstr>
  </property>
  <property fmtid="{D5CDD505-2E9C-101B-9397-08002B2CF9AE}" pid="3" name="Order">
    <vt:r8>19600</vt:r8>
  </property>
</Properties>
</file>